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E331F" w14:textId="77777777" w:rsidR="008A668F" w:rsidRDefault="001E4652" w:rsidP="008A668F">
      <w:pPr>
        <w:jc w:val="center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Section 184 Final Rule</w:t>
      </w:r>
      <w:r w:rsidR="008A668F" w:rsidRPr="008A668F">
        <w:rPr>
          <w:b/>
          <w:bCs/>
          <w:sz w:val="24"/>
          <w:szCs w:val="24"/>
        </w:rPr>
        <w:t xml:space="preserve"> </w:t>
      </w:r>
    </w:p>
    <w:p w14:paraId="101C3979" w14:textId="44EA5AE7" w:rsidR="008A668F" w:rsidRPr="008A668F" w:rsidRDefault="008A668F" w:rsidP="008A668F">
      <w:pPr>
        <w:jc w:val="center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 xml:space="preserve">Summary of Impacts </w:t>
      </w:r>
    </w:p>
    <w:p w14:paraId="2AA46EAB" w14:textId="25D58EA1" w:rsidR="00E85EC0" w:rsidRPr="008A668F" w:rsidRDefault="00E85EC0" w:rsidP="001E4652">
      <w:pPr>
        <w:jc w:val="center"/>
        <w:rPr>
          <w:b/>
          <w:bCs/>
          <w:sz w:val="24"/>
          <w:szCs w:val="24"/>
        </w:rPr>
      </w:pPr>
    </w:p>
    <w:p w14:paraId="59855FF0" w14:textId="22200B97" w:rsidR="001E4652" w:rsidRPr="008A668F" w:rsidRDefault="001E4652" w:rsidP="001E4652">
      <w:pPr>
        <w:jc w:val="center"/>
        <w:rPr>
          <w:sz w:val="24"/>
          <w:szCs w:val="24"/>
        </w:rPr>
      </w:pPr>
      <w:r w:rsidRPr="008A668F">
        <w:rPr>
          <w:sz w:val="24"/>
          <w:szCs w:val="24"/>
        </w:rPr>
        <w:t>Prepared May 13, 2024</w:t>
      </w:r>
    </w:p>
    <w:p w14:paraId="5DA33611" w14:textId="77777777" w:rsidR="001E4652" w:rsidRPr="008A668F" w:rsidRDefault="001E4652" w:rsidP="001E4652">
      <w:pPr>
        <w:jc w:val="both"/>
        <w:rPr>
          <w:sz w:val="24"/>
          <w:szCs w:val="24"/>
        </w:rPr>
      </w:pPr>
    </w:p>
    <w:p w14:paraId="09340374" w14:textId="3198A600" w:rsidR="001E4652" w:rsidRPr="008A668F" w:rsidRDefault="001E4652" w:rsidP="001E4652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Introduction</w:t>
      </w:r>
    </w:p>
    <w:p w14:paraId="53B87D50" w14:textId="4EEC18FB" w:rsidR="001E4652" w:rsidRPr="008A668F" w:rsidRDefault="001E4652" w:rsidP="001E4652">
      <w:p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On March 20, 2024, HUD published the final rule on the </w:t>
      </w:r>
      <w:r w:rsidR="004D6675" w:rsidRPr="008A668F">
        <w:rPr>
          <w:sz w:val="24"/>
          <w:szCs w:val="24"/>
        </w:rPr>
        <w:t>Section</w:t>
      </w:r>
      <w:r w:rsidRPr="008A668F">
        <w:rPr>
          <w:sz w:val="24"/>
          <w:szCs w:val="24"/>
        </w:rPr>
        <w:t xml:space="preserve"> 184 program.  The rule added tribal and lender requirements, </w:t>
      </w:r>
      <w:r w:rsidR="004D6675" w:rsidRPr="008A668F">
        <w:rPr>
          <w:sz w:val="24"/>
          <w:szCs w:val="24"/>
        </w:rPr>
        <w:t xml:space="preserve">including underwriting requirements, </w:t>
      </w:r>
      <w:r w:rsidRPr="008A668F">
        <w:rPr>
          <w:sz w:val="24"/>
          <w:szCs w:val="24"/>
        </w:rPr>
        <w:t xml:space="preserve">and borrower requirements. The rule will become effective on June </w:t>
      </w:r>
      <w:r w:rsidR="004D6675" w:rsidRPr="008A668F">
        <w:rPr>
          <w:sz w:val="24"/>
          <w:szCs w:val="24"/>
        </w:rPr>
        <w:t>18</w:t>
      </w:r>
      <w:r w:rsidRPr="008A668F">
        <w:rPr>
          <w:sz w:val="24"/>
          <w:szCs w:val="24"/>
        </w:rPr>
        <w:t xml:space="preserve">, 2024.  The rule may be found at </w:t>
      </w:r>
      <w:r w:rsidR="004D6675" w:rsidRPr="008A668F">
        <w:rPr>
          <w:sz w:val="24"/>
          <w:szCs w:val="24"/>
        </w:rPr>
        <w:t xml:space="preserve">24 CFR </w:t>
      </w:r>
      <w:r w:rsidR="00E22330" w:rsidRPr="008A668F">
        <w:rPr>
          <w:sz w:val="24"/>
          <w:szCs w:val="24"/>
        </w:rPr>
        <w:t>Part</w:t>
      </w:r>
      <w:r w:rsidR="004D6675" w:rsidRPr="008A668F">
        <w:rPr>
          <w:sz w:val="24"/>
          <w:szCs w:val="24"/>
        </w:rPr>
        <w:t xml:space="preserve"> 1005. </w:t>
      </w:r>
    </w:p>
    <w:p w14:paraId="4AA82610" w14:textId="0933570F" w:rsidR="001E4652" w:rsidRPr="008A668F" w:rsidRDefault="001E4652" w:rsidP="001E4652">
      <w:p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HUD is in the process of drafting a Handbook to implement the final rule.  </w:t>
      </w:r>
      <w:r w:rsidR="00E22330" w:rsidRPr="008A668F">
        <w:rPr>
          <w:sz w:val="24"/>
          <w:szCs w:val="24"/>
        </w:rPr>
        <w:t>It is</w:t>
      </w:r>
      <w:r w:rsidRPr="008A668F">
        <w:rPr>
          <w:sz w:val="24"/>
          <w:szCs w:val="24"/>
        </w:rPr>
        <w:t xml:space="preserve"> in the process of soliciting tribal comments to the rule.  The comments are due Ma</w:t>
      </w:r>
      <w:r w:rsidR="00FB5635">
        <w:rPr>
          <w:sz w:val="24"/>
          <w:szCs w:val="24"/>
        </w:rPr>
        <w:t>y</w:t>
      </w:r>
      <w:r w:rsidRPr="008A668F">
        <w:rPr>
          <w:sz w:val="24"/>
          <w:szCs w:val="24"/>
        </w:rPr>
        <w:t xml:space="preserve"> 31, 2024.  HUD states that it will provide training to Tribes and lenders.  </w:t>
      </w:r>
    </w:p>
    <w:p w14:paraId="73E5FE40" w14:textId="199E017F" w:rsidR="004D6675" w:rsidRPr="008A668F" w:rsidRDefault="00D8084D" w:rsidP="001E4652">
      <w:p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This summary concentrates on the impacts to tribes</w:t>
      </w:r>
      <w:r w:rsidR="001A4CC6" w:rsidRPr="008A668F">
        <w:rPr>
          <w:sz w:val="24"/>
          <w:szCs w:val="24"/>
        </w:rPr>
        <w:t xml:space="preserve">.  </w:t>
      </w:r>
      <w:r w:rsidR="007641AB" w:rsidRPr="008A668F">
        <w:rPr>
          <w:sz w:val="24"/>
          <w:szCs w:val="24"/>
        </w:rPr>
        <w:t>This part of the rule is found in Subpart C of the rule.</w:t>
      </w:r>
      <w:r w:rsidR="00287523" w:rsidRPr="008A668F">
        <w:rPr>
          <w:rStyle w:val="FootnoteReference"/>
          <w:sz w:val="24"/>
          <w:szCs w:val="24"/>
        </w:rPr>
        <w:footnoteReference w:id="1"/>
      </w:r>
      <w:r w:rsidR="007641AB" w:rsidRPr="008A668F">
        <w:rPr>
          <w:sz w:val="24"/>
          <w:szCs w:val="24"/>
        </w:rPr>
        <w:t xml:space="preserve">  While this summary</w:t>
      </w:r>
      <w:r w:rsidR="001A4CC6" w:rsidRPr="008A668F">
        <w:rPr>
          <w:sz w:val="24"/>
          <w:szCs w:val="24"/>
        </w:rPr>
        <w:t xml:space="preserve"> contains some lender requirements, it doesn’t contain all the requirements.  The Tribal Homeownership Coalition of the Southwest (THCSW) have requested lenders to provide </w:t>
      </w:r>
      <w:r w:rsidR="008A668F">
        <w:rPr>
          <w:sz w:val="24"/>
          <w:szCs w:val="24"/>
        </w:rPr>
        <w:t>a summary of impacts of the rule on lenders</w:t>
      </w:r>
      <w:r w:rsidR="001A4CC6" w:rsidRPr="008A668F">
        <w:rPr>
          <w:sz w:val="24"/>
          <w:szCs w:val="24"/>
        </w:rPr>
        <w:t>.  We will make those comments available when they have been made available to THCSW.</w:t>
      </w:r>
      <w:r w:rsidR="00287523" w:rsidRPr="008A668F">
        <w:rPr>
          <w:sz w:val="24"/>
          <w:szCs w:val="24"/>
        </w:rPr>
        <w:t xml:space="preserve"> However, one lender did state that the impact of the final rule will not be known until HUD publishes its Handbook.  </w:t>
      </w:r>
    </w:p>
    <w:p w14:paraId="43A05DE9" w14:textId="77777777" w:rsidR="008A668F" w:rsidRDefault="008A668F" w:rsidP="001E4652">
      <w:pPr>
        <w:jc w:val="both"/>
        <w:rPr>
          <w:b/>
          <w:bCs/>
          <w:sz w:val="24"/>
          <w:szCs w:val="24"/>
        </w:rPr>
      </w:pPr>
    </w:p>
    <w:p w14:paraId="18E91322" w14:textId="3C5929AB" w:rsidR="004D6675" w:rsidRPr="008A668F" w:rsidRDefault="004D6675" w:rsidP="001E4652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Eligible Tribal Lands:</w:t>
      </w:r>
    </w:p>
    <w:p w14:paraId="722F0CB3" w14:textId="79F87925" w:rsidR="004D6675" w:rsidRPr="008A668F" w:rsidRDefault="004D6675" w:rsidP="004D667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Now include</w:t>
      </w:r>
      <w:r w:rsidR="008A668F" w:rsidRPr="008A668F">
        <w:rPr>
          <w:sz w:val="24"/>
          <w:szCs w:val="24"/>
        </w:rPr>
        <w:t>s</w:t>
      </w:r>
      <w:r w:rsidRPr="008A668F">
        <w:rPr>
          <w:sz w:val="24"/>
          <w:szCs w:val="24"/>
        </w:rPr>
        <w:t xml:space="preserve"> allotted lands and tribal </w:t>
      </w:r>
      <w:r w:rsidR="008A668F" w:rsidRPr="008A668F">
        <w:rPr>
          <w:sz w:val="24"/>
          <w:szCs w:val="24"/>
        </w:rPr>
        <w:t xml:space="preserve">fee </w:t>
      </w:r>
      <w:r w:rsidRPr="008A668F">
        <w:rPr>
          <w:sz w:val="24"/>
          <w:szCs w:val="24"/>
        </w:rPr>
        <w:t xml:space="preserve">lands. </w:t>
      </w:r>
      <w:r w:rsidR="008A668F" w:rsidRPr="008A668F">
        <w:rPr>
          <w:sz w:val="24"/>
          <w:szCs w:val="24"/>
        </w:rPr>
        <w:t>Section 1005.413.</w:t>
      </w:r>
    </w:p>
    <w:p w14:paraId="02120169" w14:textId="5DAC2A12" w:rsidR="004D6675" w:rsidRPr="008A668F" w:rsidRDefault="004D6675" w:rsidP="004D6675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Lender Requirements:</w:t>
      </w:r>
    </w:p>
    <w:p w14:paraId="3849C5E2" w14:textId="1114E3A5" w:rsidR="004D6675" w:rsidRPr="008A668F" w:rsidRDefault="00446339" w:rsidP="004D6675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Expanded the type of lenders required to meet</w:t>
      </w:r>
      <w:r w:rsidR="004D6675" w:rsidRPr="008A668F">
        <w:rPr>
          <w:sz w:val="24"/>
          <w:szCs w:val="24"/>
        </w:rPr>
        <w:t xml:space="preserve"> Quality Control requirements to participate in the program. </w:t>
      </w:r>
      <w:r w:rsidRPr="008A668F">
        <w:rPr>
          <w:sz w:val="24"/>
          <w:szCs w:val="24"/>
        </w:rPr>
        <w:t>Section 1005.217</w:t>
      </w:r>
      <w:r w:rsidR="008A668F">
        <w:rPr>
          <w:sz w:val="24"/>
          <w:szCs w:val="24"/>
        </w:rPr>
        <w:t>.</w:t>
      </w:r>
    </w:p>
    <w:p w14:paraId="40F5DB9D" w14:textId="7A3F96D9" w:rsidR="004D6675" w:rsidRPr="008A668F" w:rsidRDefault="00446339" w:rsidP="004D6675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Underwriting Requirements:</w:t>
      </w:r>
    </w:p>
    <w:p w14:paraId="2ABDE93B" w14:textId="704E3F23" w:rsidR="00446339" w:rsidRDefault="00446339" w:rsidP="0044633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Increased the maximum age of loan documents from 60 days to 120 days after closing. 1005.447.</w:t>
      </w:r>
    </w:p>
    <w:p w14:paraId="27E26634" w14:textId="77777777" w:rsidR="008A668F" w:rsidRPr="008A668F" w:rsidRDefault="008A668F" w:rsidP="008A668F">
      <w:pPr>
        <w:pStyle w:val="ListParagraph"/>
        <w:jc w:val="both"/>
        <w:rPr>
          <w:sz w:val="24"/>
          <w:szCs w:val="24"/>
        </w:rPr>
      </w:pPr>
    </w:p>
    <w:p w14:paraId="497220CD" w14:textId="696DE850" w:rsidR="00446339" w:rsidRPr="008A668F" w:rsidRDefault="00C03BC2" w:rsidP="00446339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lastRenderedPageBreak/>
        <w:t>Increased flexibility to obtain an appraisal from non-FHA certified appraisers in remote and rural areas. 1000.457(b)</w:t>
      </w:r>
      <w:r w:rsidR="008A668F">
        <w:rPr>
          <w:sz w:val="24"/>
          <w:szCs w:val="24"/>
        </w:rPr>
        <w:t>.</w:t>
      </w:r>
    </w:p>
    <w:p w14:paraId="0ADF5367" w14:textId="3292F45E" w:rsidR="00C03BC2" w:rsidRPr="008A668F" w:rsidRDefault="00C03BC2" w:rsidP="004D6675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Servicing Requirements:</w:t>
      </w:r>
    </w:p>
    <w:p w14:paraId="32B345D1" w14:textId="26F9CD29" w:rsidR="00C03BC2" w:rsidRDefault="00C03BC2" w:rsidP="00C03BC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Removed default notice requirements.  The applicable state or tribal law will apply.  Section 1005.731.</w:t>
      </w:r>
    </w:p>
    <w:p w14:paraId="0D7E963F" w14:textId="77777777" w:rsidR="008A668F" w:rsidRPr="008A668F" w:rsidRDefault="008A668F" w:rsidP="008A668F">
      <w:pPr>
        <w:pStyle w:val="ListParagraph"/>
        <w:jc w:val="both"/>
        <w:rPr>
          <w:sz w:val="24"/>
          <w:szCs w:val="24"/>
        </w:rPr>
      </w:pPr>
    </w:p>
    <w:p w14:paraId="44364ED2" w14:textId="07A37C86" w:rsidR="00C03BC2" w:rsidRPr="008A668F" w:rsidRDefault="00C03BC2" w:rsidP="00C03BC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Lenders </w:t>
      </w:r>
      <w:r w:rsidR="008A668F">
        <w:rPr>
          <w:sz w:val="24"/>
          <w:szCs w:val="24"/>
        </w:rPr>
        <w:t xml:space="preserve">are </w:t>
      </w:r>
      <w:r w:rsidRPr="008A668F">
        <w:rPr>
          <w:sz w:val="24"/>
          <w:szCs w:val="24"/>
        </w:rPr>
        <w:t xml:space="preserve">required to inspect the property to confirm occupancy. </w:t>
      </w:r>
      <w:r w:rsidR="008A668F">
        <w:rPr>
          <w:sz w:val="24"/>
          <w:szCs w:val="24"/>
        </w:rPr>
        <w:t xml:space="preserve">Section </w:t>
      </w:r>
      <w:r w:rsidRPr="008A668F">
        <w:rPr>
          <w:sz w:val="24"/>
          <w:szCs w:val="24"/>
        </w:rPr>
        <w:t xml:space="preserve">1005.735.  </w:t>
      </w:r>
    </w:p>
    <w:p w14:paraId="36C937D2" w14:textId="77777777" w:rsidR="00C03BC2" w:rsidRPr="008A668F" w:rsidRDefault="00C03BC2" w:rsidP="00C03BC2">
      <w:pPr>
        <w:pStyle w:val="ListParagraph"/>
        <w:jc w:val="both"/>
        <w:rPr>
          <w:sz w:val="24"/>
          <w:szCs w:val="24"/>
        </w:rPr>
      </w:pPr>
    </w:p>
    <w:p w14:paraId="6CF3555B" w14:textId="68152290" w:rsidR="00C03BC2" w:rsidRPr="008A668F" w:rsidRDefault="00C03BC2" w:rsidP="00C03BC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If a property is confirmed to be vacant or abandoned, the lender must take steps to preserve the property.  Section 1005.737.  </w:t>
      </w:r>
    </w:p>
    <w:p w14:paraId="7A76E4DF" w14:textId="77777777" w:rsidR="00C03BC2" w:rsidRPr="008A668F" w:rsidRDefault="00C03BC2" w:rsidP="00C03BC2">
      <w:pPr>
        <w:pStyle w:val="ListParagraph"/>
        <w:rPr>
          <w:sz w:val="24"/>
          <w:szCs w:val="24"/>
        </w:rPr>
      </w:pPr>
    </w:p>
    <w:p w14:paraId="44974676" w14:textId="35DADC89" w:rsidR="00C03BC2" w:rsidRPr="008A668F" w:rsidRDefault="00C03BC2" w:rsidP="00C03BC2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Allows HUD to provide for a temporary special forbearance in response to a disaster or national emergency. Section 1005.745.</w:t>
      </w:r>
    </w:p>
    <w:p w14:paraId="0042DB68" w14:textId="099A98A9" w:rsidR="004D6675" w:rsidRPr="008A668F" w:rsidRDefault="004D6675" w:rsidP="004D6675">
      <w:pPr>
        <w:jc w:val="both"/>
        <w:rPr>
          <w:b/>
          <w:bCs/>
          <w:sz w:val="24"/>
          <w:szCs w:val="24"/>
        </w:rPr>
      </w:pPr>
      <w:r w:rsidRPr="008A668F">
        <w:rPr>
          <w:b/>
          <w:bCs/>
          <w:sz w:val="24"/>
          <w:szCs w:val="24"/>
        </w:rPr>
        <w:t>Tribal Requirements:</w:t>
      </w:r>
    </w:p>
    <w:p w14:paraId="6DDB5AEB" w14:textId="647C4A70" w:rsidR="004D6675" w:rsidRPr="008A668F" w:rsidRDefault="004D6675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In a default situation, tribes are required to assist, where practical,  in facilitating loss mitigation efforts when notified of a borrower’s default. </w:t>
      </w:r>
      <w:r w:rsidR="001A4CC6" w:rsidRPr="008A668F">
        <w:rPr>
          <w:sz w:val="24"/>
          <w:szCs w:val="24"/>
        </w:rPr>
        <w:t xml:space="preserve"> Mitigation efforts could include financial assistance, counseling, assisting in identifying potential purchasers. </w:t>
      </w:r>
      <w:r w:rsidRPr="008A668F">
        <w:rPr>
          <w:sz w:val="24"/>
          <w:szCs w:val="24"/>
        </w:rPr>
        <w:t xml:space="preserve"> </w:t>
      </w:r>
      <w:r w:rsidR="008A668F">
        <w:rPr>
          <w:sz w:val="24"/>
          <w:szCs w:val="24"/>
        </w:rPr>
        <w:t xml:space="preserve">Section </w:t>
      </w:r>
      <w:r w:rsidRPr="008A668F">
        <w:rPr>
          <w:sz w:val="24"/>
          <w:szCs w:val="24"/>
        </w:rPr>
        <w:t>1005.301(a)</w:t>
      </w:r>
      <w:r w:rsidR="008A668F">
        <w:rPr>
          <w:sz w:val="24"/>
          <w:szCs w:val="24"/>
        </w:rPr>
        <w:t>.</w:t>
      </w:r>
    </w:p>
    <w:p w14:paraId="1F064F24" w14:textId="77777777" w:rsidR="001A4CC6" w:rsidRPr="008A668F" w:rsidRDefault="001A4CC6" w:rsidP="001A4CC6">
      <w:pPr>
        <w:pStyle w:val="ListParagraph"/>
        <w:jc w:val="both"/>
        <w:rPr>
          <w:sz w:val="24"/>
          <w:szCs w:val="24"/>
        </w:rPr>
      </w:pPr>
    </w:p>
    <w:p w14:paraId="52D781F9" w14:textId="62097993" w:rsidR="001A4CC6" w:rsidRPr="008A668F" w:rsidRDefault="001A4CC6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Tribes must report  any </w:t>
      </w:r>
      <w:r w:rsidR="00083CF1" w:rsidRPr="008A668F">
        <w:rPr>
          <w:sz w:val="24"/>
          <w:szCs w:val="24"/>
        </w:rPr>
        <w:t>vacant or abandoned</w:t>
      </w:r>
      <w:r w:rsidRPr="008A668F">
        <w:rPr>
          <w:sz w:val="24"/>
          <w:szCs w:val="24"/>
        </w:rPr>
        <w:t xml:space="preserve"> </w:t>
      </w:r>
      <w:r w:rsidR="00083CF1" w:rsidRPr="008A668F">
        <w:rPr>
          <w:sz w:val="24"/>
          <w:szCs w:val="24"/>
        </w:rPr>
        <w:t>home</w:t>
      </w:r>
      <w:r w:rsidRPr="008A668F">
        <w:rPr>
          <w:sz w:val="24"/>
          <w:szCs w:val="24"/>
        </w:rPr>
        <w:t xml:space="preserve"> to HUD. Section 1005.301(a)(4).</w:t>
      </w:r>
    </w:p>
    <w:p w14:paraId="2D4C4B87" w14:textId="77777777" w:rsidR="00E22330" w:rsidRPr="008A668F" w:rsidRDefault="00E22330" w:rsidP="00E22330">
      <w:pPr>
        <w:pStyle w:val="ListParagraph"/>
        <w:rPr>
          <w:sz w:val="24"/>
          <w:szCs w:val="24"/>
        </w:rPr>
      </w:pPr>
    </w:p>
    <w:p w14:paraId="26A544C7" w14:textId="028D6013" w:rsidR="00E22330" w:rsidRPr="008A668F" w:rsidRDefault="00E22330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In a default situation, a tribe has 60 days to respond to  a first right of refusal.  Section 1005.759. </w:t>
      </w:r>
    </w:p>
    <w:p w14:paraId="7062F93E" w14:textId="77777777" w:rsidR="00083CF1" w:rsidRPr="008A668F" w:rsidRDefault="00083CF1" w:rsidP="00083CF1">
      <w:pPr>
        <w:pStyle w:val="ListParagraph"/>
        <w:rPr>
          <w:sz w:val="24"/>
          <w:szCs w:val="24"/>
        </w:rPr>
      </w:pPr>
    </w:p>
    <w:p w14:paraId="63C7505D" w14:textId="38FE4094" w:rsidR="00083CF1" w:rsidRPr="008A668F" w:rsidRDefault="0028752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Allows HUD to sue for foreclosure in a federal court.  Section 1005.301 (b) 1 (i).</w:t>
      </w:r>
      <w:r w:rsidR="008A668F">
        <w:rPr>
          <w:sz w:val="24"/>
          <w:szCs w:val="24"/>
        </w:rPr>
        <w:t xml:space="preserve">  This HUD practice is now part of the final rule. </w:t>
      </w:r>
    </w:p>
    <w:p w14:paraId="471B9237" w14:textId="77777777" w:rsidR="00287523" w:rsidRPr="008A668F" w:rsidRDefault="00287523" w:rsidP="00287523">
      <w:pPr>
        <w:pStyle w:val="ListParagraph"/>
        <w:rPr>
          <w:sz w:val="24"/>
          <w:szCs w:val="24"/>
        </w:rPr>
      </w:pPr>
    </w:p>
    <w:p w14:paraId="000E7E9A" w14:textId="0D002CEF" w:rsidR="00287523" w:rsidRPr="008A668F" w:rsidRDefault="0028752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A Tribe’s foreclosure law must allow a court to assign a Borrower’s property interest to HUD or </w:t>
      </w:r>
      <w:r w:rsidR="00A73CC2" w:rsidRPr="008A668F">
        <w:rPr>
          <w:sz w:val="24"/>
          <w:szCs w:val="24"/>
        </w:rPr>
        <w:t xml:space="preserve">other holder of the loan. </w:t>
      </w:r>
      <w:r w:rsidR="008A668F">
        <w:rPr>
          <w:sz w:val="24"/>
          <w:szCs w:val="24"/>
        </w:rPr>
        <w:t xml:space="preserve"> </w:t>
      </w:r>
      <w:r w:rsidR="00A73CC2" w:rsidRPr="008A668F">
        <w:rPr>
          <w:sz w:val="24"/>
          <w:szCs w:val="24"/>
        </w:rPr>
        <w:t>Section 1005.301(b) 1(ii).</w:t>
      </w:r>
    </w:p>
    <w:p w14:paraId="72ADF939" w14:textId="77777777" w:rsidR="00A73CC2" w:rsidRPr="008A668F" w:rsidRDefault="00A73CC2" w:rsidP="00A73CC2">
      <w:pPr>
        <w:pStyle w:val="ListParagraph"/>
        <w:rPr>
          <w:sz w:val="24"/>
          <w:szCs w:val="24"/>
        </w:rPr>
      </w:pPr>
    </w:p>
    <w:p w14:paraId="664B52A2" w14:textId="47BA3E82" w:rsidR="00A73CC2" w:rsidRPr="008A668F" w:rsidRDefault="00A73CC2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In the event of default, if a lender assigns the loan to HUD without foreclosing on the property, the tribe may assign the lease to HUD to facilitate disposition of the property.  Section 1005.301(b)(1)(iii).</w:t>
      </w:r>
    </w:p>
    <w:p w14:paraId="2F943282" w14:textId="77777777" w:rsidR="00A73CC2" w:rsidRPr="008A668F" w:rsidRDefault="00A73CC2" w:rsidP="00A73CC2">
      <w:pPr>
        <w:pStyle w:val="ListParagraph"/>
        <w:rPr>
          <w:sz w:val="24"/>
          <w:szCs w:val="24"/>
        </w:rPr>
      </w:pPr>
    </w:p>
    <w:p w14:paraId="53E03EB2" w14:textId="59AA7807" w:rsidR="00A73CC2" w:rsidRPr="008A668F" w:rsidRDefault="00A73CC2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If the lease is assigned to a lender or HUD, a tribe or TDHE is required to work with the  lender or HUD to sell the property to an eligible borrower.  Section 1005.301(b)(2).  This used to be an option.  </w:t>
      </w:r>
    </w:p>
    <w:p w14:paraId="04060AB8" w14:textId="77777777" w:rsidR="00A73CC2" w:rsidRPr="008A668F" w:rsidRDefault="00A73CC2" w:rsidP="00A73CC2">
      <w:pPr>
        <w:pStyle w:val="ListParagraph"/>
        <w:rPr>
          <w:sz w:val="24"/>
          <w:szCs w:val="24"/>
        </w:rPr>
      </w:pPr>
    </w:p>
    <w:p w14:paraId="47D6519F" w14:textId="5AC88505" w:rsidR="00A73CC2" w:rsidRPr="008A668F" w:rsidRDefault="00A73CC2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lastRenderedPageBreak/>
        <w:t xml:space="preserve">A Tribe’s eviction law must allow for eviction not only after foreclosure, but after involuntary termination of the lease, </w:t>
      </w:r>
      <w:r w:rsidR="00B1590E" w:rsidRPr="008A668F">
        <w:rPr>
          <w:sz w:val="24"/>
          <w:szCs w:val="24"/>
        </w:rPr>
        <w:t>assignment of the lease, or sale of the property. Section 1005.301(b)(3).</w:t>
      </w:r>
      <w:r w:rsidR="008A668F">
        <w:rPr>
          <w:sz w:val="24"/>
          <w:szCs w:val="24"/>
        </w:rPr>
        <w:t xml:space="preserve"> </w:t>
      </w:r>
    </w:p>
    <w:p w14:paraId="32695A92" w14:textId="77777777" w:rsidR="00E045D3" w:rsidRPr="008A668F" w:rsidRDefault="00E045D3" w:rsidP="00E045D3">
      <w:pPr>
        <w:pStyle w:val="ListParagraph"/>
        <w:rPr>
          <w:sz w:val="24"/>
          <w:szCs w:val="24"/>
        </w:rPr>
      </w:pPr>
    </w:p>
    <w:p w14:paraId="2BBDFB95" w14:textId="73FA8D3C" w:rsidR="00E045D3" w:rsidRPr="008A668F" w:rsidRDefault="00E045D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A mortgage must be recorded by the Tribe and/or BIA to be valid. Section 1005.301(b)(4)(ii).  </w:t>
      </w:r>
    </w:p>
    <w:p w14:paraId="5B1A49B9" w14:textId="77777777" w:rsidR="00E045D3" w:rsidRPr="008A668F" w:rsidRDefault="00E045D3" w:rsidP="00E045D3">
      <w:pPr>
        <w:pStyle w:val="ListParagraph"/>
        <w:rPr>
          <w:sz w:val="24"/>
          <w:szCs w:val="24"/>
        </w:rPr>
      </w:pPr>
    </w:p>
    <w:p w14:paraId="6F4592B6" w14:textId="3A106E68" w:rsidR="00E045D3" w:rsidRPr="008A668F" w:rsidRDefault="00E045D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 xml:space="preserve">Leases must contain required HUD language relating to default and assignment of the lease. Section 1005.301(b)(5).  </w:t>
      </w:r>
    </w:p>
    <w:p w14:paraId="1874D0F8" w14:textId="77777777" w:rsidR="00E045D3" w:rsidRPr="008A668F" w:rsidRDefault="00E045D3" w:rsidP="00E045D3">
      <w:pPr>
        <w:pStyle w:val="ListParagraph"/>
        <w:rPr>
          <w:sz w:val="24"/>
          <w:szCs w:val="24"/>
        </w:rPr>
      </w:pPr>
    </w:p>
    <w:p w14:paraId="77F54C16" w14:textId="580858EA" w:rsidR="00E045D3" w:rsidRPr="008A668F" w:rsidRDefault="00E045D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Tribes must recertify its participation in the Section 184 program and update contact information annually in accordance with a prescribed deadline.  Section 1005.307.</w:t>
      </w:r>
    </w:p>
    <w:p w14:paraId="55D7FD98" w14:textId="77777777" w:rsidR="00E045D3" w:rsidRPr="008A668F" w:rsidRDefault="00E045D3" w:rsidP="00E045D3">
      <w:pPr>
        <w:pStyle w:val="ListParagraph"/>
        <w:rPr>
          <w:sz w:val="24"/>
          <w:szCs w:val="24"/>
        </w:rPr>
      </w:pPr>
    </w:p>
    <w:p w14:paraId="0B65A783" w14:textId="24C482E9" w:rsidR="00E045D3" w:rsidRPr="008A668F" w:rsidRDefault="00E045D3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Tribe must submit proposed changes to its mortgage laws, leases, and contact information to HUD. Section 1005.309.</w:t>
      </w:r>
    </w:p>
    <w:p w14:paraId="0A7CABB0" w14:textId="77777777" w:rsidR="009D74FD" w:rsidRPr="008A668F" w:rsidRDefault="009D74FD" w:rsidP="009D74FD">
      <w:pPr>
        <w:pStyle w:val="ListParagraph"/>
        <w:rPr>
          <w:sz w:val="24"/>
          <w:szCs w:val="24"/>
        </w:rPr>
      </w:pPr>
    </w:p>
    <w:p w14:paraId="348FC4C6" w14:textId="523F5CA8" w:rsidR="009D74FD" w:rsidRDefault="009D74FD" w:rsidP="004D667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8A668F">
        <w:rPr>
          <w:sz w:val="24"/>
          <w:szCs w:val="24"/>
        </w:rPr>
        <w:t>Tribes must report lease defaults to HUD within 30 days of the default.  Section 1005.311.</w:t>
      </w:r>
    </w:p>
    <w:p w14:paraId="6B92A1E0" w14:textId="77777777" w:rsidR="008A668F" w:rsidRPr="008A668F" w:rsidRDefault="008A668F" w:rsidP="008A668F">
      <w:pPr>
        <w:pStyle w:val="ListParagraph"/>
        <w:rPr>
          <w:sz w:val="24"/>
          <w:szCs w:val="24"/>
        </w:rPr>
      </w:pPr>
    </w:p>
    <w:p w14:paraId="01C13172" w14:textId="76E73EFE" w:rsidR="008A668F" w:rsidRDefault="008A668F" w:rsidP="008A66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summary, the new requirements on tribes will require tribes to update their mortgage laws and perhaps their leases, unless HUD agrees to use a lease amendment for Section 184 loans. </w:t>
      </w:r>
    </w:p>
    <w:p w14:paraId="662E05D4" w14:textId="77777777" w:rsidR="008A668F" w:rsidRDefault="008A668F" w:rsidP="008A668F">
      <w:pPr>
        <w:jc w:val="both"/>
        <w:rPr>
          <w:sz w:val="24"/>
          <w:szCs w:val="24"/>
        </w:rPr>
      </w:pPr>
    </w:p>
    <w:p w14:paraId="0B6FF64A" w14:textId="77777777" w:rsidR="008A668F" w:rsidRPr="008A668F" w:rsidRDefault="008A668F" w:rsidP="008A668F">
      <w:pPr>
        <w:jc w:val="both"/>
        <w:rPr>
          <w:sz w:val="24"/>
          <w:szCs w:val="24"/>
        </w:rPr>
      </w:pPr>
    </w:p>
    <w:sectPr w:rsidR="008A668F" w:rsidRPr="008A66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2D4A" w14:textId="77777777" w:rsidR="004560BB" w:rsidRDefault="004560BB" w:rsidP="001A4CC6">
      <w:pPr>
        <w:spacing w:after="0" w:line="240" w:lineRule="auto"/>
      </w:pPr>
      <w:r>
        <w:separator/>
      </w:r>
    </w:p>
  </w:endnote>
  <w:endnote w:type="continuationSeparator" w:id="0">
    <w:p w14:paraId="070A49D2" w14:textId="77777777" w:rsidR="004560BB" w:rsidRDefault="004560BB" w:rsidP="001A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0383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AE0C01C" w14:textId="2DFD67E0" w:rsidR="001A4CC6" w:rsidRDefault="001A4C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noProof/>
              </w:rPr>
              <w:t>2</w:t>
            </w:r>
            <w:r>
              <w:t xml:space="preserve"> of </w:t>
            </w:r>
            <w:r>
              <w:rPr>
                <w:b/>
                <w:bCs/>
                <w:noProof/>
              </w:rPr>
              <w:t>2</w:t>
            </w:r>
          </w:p>
        </w:sdtContent>
      </w:sdt>
    </w:sdtContent>
  </w:sdt>
  <w:p w14:paraId="5C67A060" w14:textId="77777777" w:rsidR="001A4CC6" w:rsidRDefault="001A4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E0F75" w14:textId="77777777" w:rsidR="004560BB" w:rsidRDefault="004560BB" w:rsidP="001A4CC6">
      <w:pPr>
        <w:spacing w:after="0" w:line="240" w:lineRule="auto"/>
      </w:pPr>
      <w:r>
        <w:separator/>
      </w:r>
    </w:p>
  </w:footnote>
  <w:footnote w:type="continuationSeparator" w:id="0">
    <w:p w14:paraId="19D786DB" w14:textId="77777777" w:rsidR="004560BB" w:rsidRDefault="004560BB" w:rsidP="001A4CC6">
      <w:pPr>
        <w:spacing w:after="0" w:line="240" w:lineRule="auto"/>
      </w:pPr>
      <w:r>
        <w:continuationSeparator/>
      </w:r>
    </w:p>
  </w:footnote>
  <w:footnote w:id="1">
    <w:p w14:paraId="239ACD2B" w14:textId="561EF522" w:rsidR="00287523" w:rsidRDefault="00287523">
      <w:pPr>
        <w:pStyle w:val="FootnoteText"/>
      </w:pPr>
      <w:r>
        <w:rPr>
          <w:rStyle w:val="FootnoteReference"/>
        </w:rPr>
        <w:footnoteRef/>
      </w:r>
      <w:r>
        <w:t xml:space="preserve"> Subpart C begins at page 20063 of the Federal Register (Docket No. FR-5593-F-02).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5CCB"/>
    <w:multiLevelType w:val="hybridMultilevel"/>
    <w:tmpl w:val="4B0EA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72E0"/>
    <w:multiLevelType w:val="hybridMultilevel"/>
    <w:tmpl w:val="E814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AB1"/>
    <w:multiLevelType w:val="hybridMultilevel"/>
    <w:tmpl w:val="5A32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F1621"/>
    <w:multiLevelType w:val="hybridMultilevel"/>
    <w:tmpl w:val="3E6C1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6385E"/>
    <w:multiLevelType w:val="hybridMultilevel"/>
    <w:tmpl w:val="BB3EB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85752">
    <w:abstractNumId w:val="3"/>
  </w:num>
  <w:num w:numId="2" w16cid:durableId="1383672143">
    <w:abstractNumId w:val="1"/>
  </w:num>
  <w:num w:numId="3" w16cid:durableId="57703567">
    <w:abstractNumId w:val="4"/>
  </w:num>
  <w:num w:numId="4" w16cid:durableId="941570055">
    <w:abstractNumId w:val="0"/>
  </w:num>
  <w:num w:numId="5" w16cid:durableId="1997800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52"/>
    <w:rsid w:val="00083CF1"/>
    <w:rsid w:val="001A4CC6"/>
    <w:rsid w:val="001E4652"/>
    <w:rsid w:val="00245FE6"/>
    <w:rsid w:val="00287523"/>
    <w:rsid w:val="00446339"/>
    <w:rsid w:val="004560BB"/>
    <w:rsid w:val="004D6675"/>
    <w:rsid w:val="005170C7"/>
    <w:rsid w:val="005757E4"/>
    <w:rsid w:val="005E3E99"/>
    <w:rsid w:val="00695026"/>
    <w:rsid w:val="006B0819"/>
    <w:rsid w:val="007641AB"/>
    <w:rsid w:val="0088269C"/>
    <w:rsid w:val="00885841"/>
    <w:rsid w:val="008A668F"/>
    <w:rsid w:val="009D74FD"/>
    <w:rsid w:val="00A03E50"/>
    <w:rsid w:val="00A1220F"/>
    <w:rsid w:val="00A73CC2"/>
    <w:rsid w:val="00AB164F"/>
    <w:rsid w:val="00B1590E"/>
    <w:rsid w:val="00C03BC2"/>
    <w:rsid w:val="00D01051"/>
    <w:rsid w:val="00D8084D"/>
    <w:rsid w:val="00E045D3"/>
    <w:rsid w:val="00E22330"/>
    <w:rsid w:val="00E85EC0"/>
    <w:rsid w:val="00F143FA"/>
    <w:rsid w:val="00FB5635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B153"/>
  <w15:chartTrackingRefBased/>
  <w15:docId w15:val="{4485D665-58C5-47D4-8AE1-D7A78AA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6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4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C6"/>
  </w:style>
  <w:style w:type="paragraph" w:styleId="Footer">
    <w:name w:val="footer"/>
    <w:basedOn w:val="Normal"/>
    <w:link w:val="FooterChar"/>
    <w:uiPriority w:val="99"/>
    <w:unhideWhenUsed/>
    <w:rsid w:val="001A4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C6"/>
  </w:style>
  <w:style w:type="paragraph" w:styleId="FootnoteText">
    <w:name w:val="footnote text"/>
    <w:basedOn w:val="Normal"/>
    <w:link w:val="FootnoteTextChar"/>
    <w:uiPriority w:val="99"/>
    <w:semiHidden/>
    <w:unhideWhenUsed/>
    <w:rsid w:val="00287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A157-3028-417E-BA56-B39B0E35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Zuni</dc:creator>
  <cp:keywords/>
  <dc:description/>
  <cp:lastModifiedBy>Linda Niezgodzki</cp:lastModifiedBy>
  <cp:revision>3</cp:revision>
  <dcterms:created xsi:type="dcterms:W3CDTF">2024-05-14T17:57:00Z</dcterms:created>
  <dcterms:modified xsi:type="dcterms:W3CDTF">2024-05-14T21:19:00Z</dcterms:modified>
</cp:coreProperties>
</file>