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2A2F89" w:rsidRPr="002A2F89" w14:paraId="2D4182C8" w14:textId="77777777" w:rsidTr="002A2F89">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2A2F89" w:rsidRPr="002A2F89" w14:paraId="1188E377" w14:textId="77777777">
              <w:trPr>
                <w:jc w:val="center"/>
              </w:trPr>
              <w:tc>
                <w:tcPr>
                  <w:tcW w:w="5000" w:type="pct"/>
                  <w:shd w:val="clear" w:color="auto" w:fill="FFFFFF"/>
                  <w:tcMar>
                    <w:top w:w="300" w:type="dxa"/>
                    <w:left w:w="300" w:type="dxa"/>
                    <w:bottom w:w="300" w:type="dxa"/>
                    <w:right w:w="300" w:type="dxa"/>
                  </w:tcMar>
                  <w:vAlign w:val="center"/>
                  <w:hideMark/>
                </w:tcPr>
                <w:p w14:paraId="761A2A32" w14:textId="7170A814" w:rsidR="00FB1BA7" w:rsidRDefault="00FB1BA7" w:rsidP="002A2F89">
                  <w:pPr>
                    <w:spacing w:before="150" w:after="150" w:line="288" w:lineRule="auto"/>
                    <w:rPr>
                      <w:rFonts w:ascii="Arial" w:eastAsia="Times New Roman" w:hAnsi="Arial" w:cs="Arial"/>
                      <w:b/>
                      <w:bCs/>
                      <w:color w:val="000000"/>
                      <w:sz w:val="20"/>
                      <w:szCs w:val="20"/>
                    </w:rPr>
                  </w:pPr>
                  <w:r>
                    <w:rPr>
                      <w:noProof/>
                    </w:rPr>
                    <w:drawing>
                      <wp:anchor distT="0" distB="0" distL="114300" distR="114300" simplePos="0" relativeHeight="251658240" behindDoc="0" locked="0" layoutInCell="1" allowOverlap="1" wp14:anchorId="05F97D4A" wp14:editId="74418774">
                        <wp:simplePos x="0" y="0"/>
                        <wp:positionH relativeFrom="column">
                          <wp:posOffset>0</wp:posOffset>
                        </wp:positionH>
                        <wp:positionV relativeFrom="paragraph">
                          <wp:posOffset>269240</wp:posOffset>
                        </wp:positionV>
                        <wp:extent cx="895350" cy="895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CEC1F" w14:textId="22000706" w:rsidR="00FB1BA7" w:rsidRDefault="00FB1BA7" w:rsidP="002A2F89">
                  <w:pPr>
                    <w:spacing w:before="150" w:after="150" w:line="288" w:lineRule="auto"/>
                    <w:rPr>
                      <w:rFonts w:ascii="Arial" w:eastAsia="Times New Roman" w:hAnsi="Arial" w:cs="Arial"/>
                      <w:color w:val="000000"/>
                      <w:sz w:val="20"/>
                      <w:szCs w:val="20"/>
                    </w:rPr>
                  </w:pPr>
                  <w:r w:rsidRPr="002A2F89">
                    <w:rPr>
                      <w:rFonts w:ascii="Arial" w:eastAsia="Times New Roman" w:hAnsi="Arial" w:cs="Arial"/>
                      <w:b/>
                      <w:bCs/>
                      <w:color w:val="000000"/>
                      <w:sz w:val="20"/>
                      <w:szCs w:val="20"/>
                    </w:rPr>
                    <w:t>U.S. DEPARTMENT OF HOUSING AND URBAN DEVELOPMENT</w:t>
                  </w:r>
                  <w:r w:rsidRPr="002A2F89">
                    <w:rPr>
                      <w:rFonts w:ascii="Arial" w:eastAsia="Times New Roman" w:hAnsi="Arial" w:cs="Arial"/>
                      <w:b/>
                      <w:bCs/>
                      <w:color w:val="000000"/>
                      <w:sz w:val="20"/>
                      <w:szCs w:val="20"/>
                    </w:rPr>
                    <w:br/>
                  </w:r>
                  <w:r w:rsidRPr="002A2F89">
                    <w:rPr>
                      <w:rFonts w:ascii="Arial" w:eastAsia="Times New Roman" w:hAnsi="Arial" w:cs="Arial"/>
                      <w:color w:val="000000"/>
                      <w:sz w:val="20"/>
                      <w:szCs w:val="20"/>
                    </w:rPr>
                    <w:t>WASHINGTON, DC 20410-5000</w:t>
                  </w:r>
                </w:p>
                <w:p w14:paraId="253191E3" w14:textId="77777777" w:rsidR="00FB1BA7" w:rsidRDefault="00FB1BA7" w:rsidP="002A2F89">
                  <w:pPr>
                    <w:spacing w:before="150" w:after="150" w:line="288" w:lineRule="auto"/>
                    <w:rPr>
                      <w:rFonts w:ascii="Arial" w:eastAsia="Times New Roman" w:hAnsi="Arial" w:cs="Arial"/>
                      <w:color w:val="000000"/>
                      <w:sz w:val="20"/>
                      <w:szCs w:val="20"/>
                    </w:rPr>
                  </w:pPr>
                </w:p>
                <w:p w14:paraId="69AF30A7" w14:textId="77777777" w:rsidR="00FB1BA7" w:rsidRDefault="00FB1BA7" w:rsidP="002A2F89">
                  <w:pPr>
                    <w:spacing w:before="150" w:after="150" w:line="288" w:lineRule="auto"/>
                    <w:rPr>
                      <w:rFonts w:ascii="Arial" w:eastAsia="Times New Roman" w:hAnsi="Arial" w:cs="Arial"/>
                      <w:color w:val="000000"/>
                      <w:sz w:val="20"/>
                      <w:szCs w:val="20"/>
                    </w:rPr>
                  </w:pPr>
                </w:p>
                <w:p w14:paraId="5487755B" w14:textId="62E64A0A" w:rsidR="006E625E" w:rsidRDefault="006E625E" w:rsidP="006E625E">
                  <w:pPr>
                    <w:pStyle w:val="NormalWeb"/>
                    <w:spacing w:before="150" w:beforeAutospacing="0" w:after="150" w:afterAutospacing="0" w:line="288" w:lineRule="auto"/>
                    <w:rPr>
                      <w:rFonts w:ascii="Arial" w:hAnsi="Arial" w:cs="Arial"/>
                      <w:color w:val="000000"/>
                      <w:sz w:val="20"/>
                      <w:szCs w:val="20"/>
                    </w:rPr>
                  </w:pPr>
                  <w:r>
                    <w:rPr>
                      <w:rFonts w:ascii="Arial" w:hAnsi="Arial" w:cs="Arial"/>
                      <w:color w:val="000000"/>
                      <w:sz w:val="20"/>
                      <w:szCs w:val="20"/>
                    </w:rPr>
                    <w:t>March 27, 2020</w:t>
                  </w:r>
                </w:p>
                <w:p w14:paraId="6BADF67A" w14:textId="77777777" w:rsidR="006E625E" w:rsidRDefault="006E625E" w:rsidP="006E625E">
                  <w:pPr>
                    <w:pStyle w:val="NormalWeb"/>
                    <w:spacing w:before="150" w:beforeAutospacing="0" w:after="150" w:afterAutospacing="0" w:line="288" w:lineRule="auto"/>
                    <w:rPr>
                      <w:rFonts w:ascii="Arial" w:hAnsi="Arial" w:cs="Arial"/>
                      <w:color w:val="000000"/>
                      <w:sz w:val="20"/>
                      <w:szCs w:val="20"/>
                    </w:rPr>
                  </w:pPr>
                  <w:r>
                    <w:rPr>
                      <w:rFonts w:ascii="Arial" w:hAnsi="Arial" w:cs="Arial"/>
                      <w:color w:val="000000"/>
                      <w:sz w:val="20"/>
                      <w:szCs w:val="20"/>
                    </w:rPr>
                    <w:t> </w:t>
                  </w:r>
                </w:p>
                <w:p w14:paraId="0BD59F09" w14:textId="77777777" w:rsidR="006E625E" w:rsidRDefault="006E625E" w:rsidP="006E625E">
                  <w:pPr>
                    <w:pStyle w:val="NormalWeb"/>
                    <w:spacing w:before="150" w:beforeAutospacing="0" w:after="150" w:afterAutospacing="0" w:line="288" w:lineRule="auto"/>
                    <w:rPr>
                      <w:rFonts w:ascii="Arial" w:hAnsi="Arial" w:cs="Arial"/>
                      <w:color w:val="000000"/>
                      <w:sz w:val="20"/>
                      <w:szCs w:val="20"/>
                    </w:rPr>
                  </w:pPr>
                  <w:r>
                    <w:rPr>
                      <w:rFonts w:ascii="Arial" w:hAnsi="Arial" w:cs="Arial"/>
                      <w:color w:val="000000"/>
                      <w:sz w:val="20"/>
                      <w:szCs w:val="20"/>
                    </w:rPr>
                    <w:t>Dear Lender Letter: DLL - 2020-04</w:t>
                  </w:r>
                </w:p>
                <w:p w14:paraId="1D42C15D" w14:textId="77777777" w:rsidR="006E625E" w:rsidRDefault="006E625E" w:rsidP="006E625E">
                  <w:pPr>
                    <w:pStyle w:val="NormalWeb"/>
                    <w:spacing w:before="150" w:beforeAutospacing="0" w:after="150" w:afterAutospacing="0" w:line="288" w:lineRule="auto"/>
                    <w:rPr>
                      <w:rFonts w:ascii="Arial" w:hAnsi="Arial" w:cs="Arial"/>
                      <w:color w:val="000000"/>
                      <w:sz w:val="20"/>
                      <w:szCs w:val="20"/>
                    </w:rPr>
                  </w:pPr>
                  <w:r>
                    <w:rPr>
                      <w:rStyle w:val="Strong"/>
                      <w:rFonts w:ascii="Arial" w:hAnsi="Arial" w:cs="Arial"/>
                      <w:color w:val="000000"/>
                      <w:sz w:val="20"/>
                      <w:szCs w:val="20"/>
                    </w:rPr>
                    <w:t>To</w:t>
                  </w:r>
                  <w:r>
                    <w:rPr>
                      <w:rFonts w:ascii="Arial" w:hAnsi="Arial" w:cs="Arial"/>
                      <w:color w:val="000000"/>
                      <w:sz w:val="20"/>
                      <w:szCs w:val="20"/>
                    </w:rPr>
                    <w:t>: Section 184 and 184A Lenders and Servicers; Indian Tribes; and Tribally Designated Housing Entities</w:t>
                  </w:r>
                </w:p>
                <w:p w14:paraId="2500BCE4" w14:textId="77777777" w:rsidR="006E625E" w:rsidRDefault="006E625E" w:rsidP="006E625E">
                  <w:pPr>
                    <w:pStyle w:val="NormalWeb"/>
                    <w:spacing w:before="150" w:beforeAutospacing="0" w:after="150" w:afterAutospacing="0" w:line="288" w:lineRule="auto"/>
                    <w:rPr>
                      <w:rFonts w:ascii="Arial" w:hAnsi="Arial" w:cs="Arial"/>
                      <w:color w:val="000000"/>
                      <w:sz w:val="20"/>
                      <w:szCs w:val="20"/>
                    </w:rPr>
                  </w:pPr>
                  <w:r>
                    <w:rPr>
                      <w:rStyle w:val="Strong"/>
                      <w:rFonts w:ascii="Arial" w:hAnsi="Arial" w:cs="Arial"/>
                      <w:color w:val="000000"/>
                      <w:sz w:val="20"/>
                      <w:szCs w:val="20"/>
                    </w:rPr>
                    <w:t>Subject:</w:t>
                  </w:r>
                  <w:r>
                    <w:rPr>
                      <w:rFonts w:ascii="Arial" w:hAnsi="Arial" w:cs="Arial"/>
                      <w:color w:val="000000"/>
                      <w:sz w:val="20"/>
                      <w:szCs w:val="20"/>
                    </w:rPr>
                    <w:t xml:space="preserve"> Foreclosure and Eviction Moratorium in connection with the Presidentially Declared COVID-19 National Emergency</w:t>
                  </w:r>
                </w:p>
                <w:tbl>
                  <w:tblPr>
                    <w:tblW w:w="9540" w:type="dxa"/>
                    <w:tblCellMar>
                      <w:left w:w="0" w:type="dxa"/>
                      <w:right w:w="0" w:type="dxa"/>
                    </w:tblCellMar>
                    <w:tblLook w:val="04A0" w:firstRow="1" w:lastRow="0" w:firstColumn="1" w:lastColumn="0" w:noHBand="0" w:noVBand="1"/>
                  </w:tblPr>
                  <w:tblGrid>
                    <w:gridCol w:w="9540"/>
                  </w:tblGrid>
                  <w:tr w:rsidR="006E625E" w14:paraId="6FD3F18F" w14:textId="77777777" w:rsidTr="006E625E">
                    <w:tc>
                      <w:tcPr>
                        <w:tcW w:w="9540" w:type="dxa"/>
                        <w:vAlign w:val="center"/>
                        <w:hideMark/>
                      </w:tcPr>
                      <w:p w14:paraId="285B41D5" w14:textId="77777777" w:rsidR="006E625E" w:rsidRDefault="006E625E" w:rsidP="006E625E">
                        <w:pPr>
                          <w:pStyle w:val="NormalWeb"/>
                          <w:spacing w:before="150" w:beforeAutospacing="0" w:after="150" w:afterAutospacing="0" w:line="288" w:lineRule="auto"/>
                          <w:rPr>
                            <w:rFonts w:ascii="Arial" w:hAnsi="Arial" w:cs="Arial"/>
                            <w:color w:val="000000"/>
                            <w:sz w:val="20"/>
                            <w:szCs w:val="20"/>
                          </w:rPr>
                        </w:pPr>
                        <w:r>
                          <w:rPr>
                            <w:rStyle w:val="Strong"/>
                            <w:rFonts w:ascii="Arial" w:hAnsi="Arial" w:cs="Arial"/>
                            <w:color w:val="000000"/>
                            <w:sz w:val="20"/>
                            <w:szCs w:val="20"/>
                          </w:rPr>
                          <w:t>Purpose</w:t>
                        </w:r>
                        <w:r>
                          <w:rPr>
                            <w:rFonts w:ascii="Arial" w:hAnsi="Arial" w:cs="Arial"/>
                            <w:color w:val="000000"/>
                            <w:sz w:val="20"/>
                            <w:szCs w:val="20"/>
                          </w:rPr>
                          <w:t>: The purpose of this Dear Lender Letter (DLL) is to inform approved Sections 184 and 184A lenders and servicers of a foreclosure and eviction moratorium for all loans guaranteed under the Section 184 Indian Home Loan Guarantee Program and the Section 184A Native Hawaiian Housing Loan Guarantee Program for a period of 60 days.</w:t>
                        </w:r>
                      </w:p>
                      <w:p w14:paraId="4FF95B66" w14:textId="77777777" w:rsidR="006E625E" w:rsidRDefault="006E625E" w:rsidP="006E625E">
                        <w:pPr>
                          <w:pStyle w:val="NormalWeb"/>
                          <w:spacing w:before="150" w:beforeAutospacing="0" w:after="150" w:afterAutospacing="0" w:line="288" w:lineRule="auto"/>
                          <w:rPr>
                            <w:rFonts w:ascii="Arial" w:hAnsi="Arial" w:cs="Arial"/>
                            <w:color w:val="000000"/>
                            <w:sz w:val="20"/>
                            <w:szCs w:val="20"/>
                          </w:rPr>
                        </w:pPr>
                        <w:r>
                          <w:rPr>
                            <w:rStyle w:val="Strong"/>
                            <w:rFonts w:ascii="Arial" w:hAnsi="Arial" w:cs="Arial"/>
                            <w:color w:val="000000"/>
                            <w:sz w:val="20"/>
                            <w:szCs w:val="20"/>
                          </w:rPr>
                          <w:t>Effective Date:</w:t>
                        </w:r>
                        <w:r>
                          <w:rPr>
                            <w:rFonts w:ascii="Arial" w:hAnsi="Arial" w:cs="Arial"/>
                            <w:color w:val="000000"/>
                            <w:sz w:val="20"/>
                            <w:szCs w:val="20"/>
                          </w:rPr>
                          <w:t xml:space="preserve"> This DLL is effective immediately upon issuance.</w:t>
                        </w:r>
                      </w:p>
                      <w:p w14:paraId="2C343BC9" w14:textId="77777777" w:rsidR="006E625E" w:rsidRDefault="006E625E" w:rsidP="006E625E">
                        <w:pPr>
                          <w:pStyle w:val="NormalWeb"/>
                          <w:spacing w:before="150" w:beforeAutospacing="0" w:after="150" w:afterAutospacing="0" w:line="288" w:lineRule="auto"/>
                          <w:rPr>
                            <w:rFonts w:ascii="Arial" w:hAnsi="Arial" w:cs="Arial"/>
                            <w:color w:val="000000"/>
                            <w:sz w:val="20"/>
                            <w:szCs w:val="20"/>
                          </w:rPr>
                        </w:pPr>
                        <w:r>
                          <w:rPr>
                            <w:rStyle w:val="Strong"/>
                            <w:rFonts w:ascii="Arial" w:hAnsi="Arial" w:cs="Arial"/>
                            <w:color w:val="000000"/>
                            <w:sz w:val="20"/>
                            <w:szCs w:val="20"/>
                          </w:rPr>
                          <w:t>Background</w:t>
                        </w:r>
                      </w:p>
                      <w:p w14:paraId="6AE65ECA" w14:textId="77777777" w:rsidR="006E625E" w:rsidRDefault="006E625E" w:rsidP="006E625E">
                        <w:pPr>
                          <w:pStyle w:val="NormalWeb"/>
                          <w:spacing w:before="150" w:beforeAutospacing="0" w:after="150" w:afterAutospacing="0" w:line="288" w:lineRule="auto"/>
                          <w:rPr>
                            <w:rFonts w:ascii="Arial" w:hAnsi="Arial" w:cs="Arial"/>
                            <w:color w:val="000000"/>
                            <w:sz w:val="20"/>
                            <w:szCs w:val="20"/>
                          </w:rPr>
                        </w:pPr>
                        <w:r>
                          <w:rPr>
                            <w:rFonts w:ascii="Arial" w:hAnsi="Arial" w:cs="Arial"/>
                            <w:color w:val="000000"/>
                            <w:sz w:val="20"/>
                            <w:szCs w:val="20"/>
                          </w:rPr>
                          <w:t>The President of the United States proclaimed that the COVID-19 outbreak in the United States constitutes a national emergency. As a result of this unprecedented global pandemic, many jurisdictions have reduced services, businesses have closed, and other activities have been curtailed. In addition, this pandemic impedes the ability of Americans to work and provide for their families. This directly impacts the financial well-being of individuals, families, and businesses. Furthermore, Americans have been asked to remain in their homes to stem the tide of COVID-19. Therefore, on March 18, 2020, the Secretary of HUD authorized a 60-day moratorium on foreclosures for FHA-insured single-family homes. To ensure families are not displaced during this critical period, the Secretary of HUD is authorizing a moratorium on evictions for Sections 184 and l84A guaranteed loans.</w:t>
                        </w:r>
                      </w:p>
                      <w:p w14:paraId="22CF643F" w14:textId="77777777" w:rsidR="006E625E" w:rsidRDefault="006E625E" w:rsidP="006E625E">
                        <w:pPr>
                          <w:pStyle w:val="NormalWeb"/>
                          <w:spacing w:before="150" w:beforeAutospacing="0" w:after="150" w:afterAutospacing="0" w:line="288" w:lineRule="auto"/>
                          <w:rPr>
                            <w:rFonts w:ascii="Arial" w:hAnsi="Arial" w:cs="Arial"/>
                            <w:color w:val="000000"/>
                            <w:sz w:val="20"/>
                            <w:szCs w:val="20"/>
                          </w:rPr>
                        </w:pPr>
                        <w:r>
                          <w:rPr>
                            <w:rStyle w:val="Strong"/>
                            <w:rFonts w:ascii="Arial" w:hAnsi="Arial" w:cs="Arial"/>
                            <w:color w:val="000000"/>
                            <w:sz w:val="20"/>
                            <w:szCs w:val="20"/>
                          </w:rPr>
                          <w:t>Moratorium on Foreclosures and Evictions and Extension of Deadlines</w:t>
                        </w:r>
                      </w:p>
                      <w:p w14:paraId="094577EB" w14:textId="77777777" w:rsidR="006E625E" w:rsidRDefault="006E625E" w:rsidP="006E625E">
                        <w:pPr>
                          <w:pStyle w:val="NormalWeb"/>
                          <w:spacing w:before="150" w:beforeAutospacing="0" w:after="150" w:afterAutospacing="0" w:line="288" w:lineRule="auto"/>
                          <w:rPr>
                            <w:rFonts w:ascii="Arial" w:hAnsi="Arial" w:cs="Arial"/>
                            <w:color w:val="000000"/>
                            <w:sz w:val="20"/>
                            <w:szCs w:val="20"/>
                          </w:rPr>
                        </w:pPr>
                        <w:r>
                          <w:rPr>
                            <w:rFonts w:ascii="Arial" w:hAnsi="Arial" w:cs="Arial"/>
                            <w:color w:val="000000"/>
                            <w:sz w:val="20"/>
                            <w:szCs w:val="20"/>
                          </w:rPr>
                          <w:t>Properties secured by Sections 184 or 184A guaranteed loans are subject to a moratorium on foreclosure for a period of 60 days from the date of issuance. The moratorium applies to the initiation of foreclosures and to foreclosures in process.</w:t>
                        </w:r>
                      </w:p>
                      <w:p w14:paraId="49161A3C" w14:textId="77777777" w:rsidR="006E625E" w:rsidRDefault="006E625E" w:rsidP="006E625E">
                        <w:pPr>
                          <w:pStyle w:val="NormalWeb"/>
                          <w:spacing w:before="150" w:beforeAutospacing="0" w:after="150" w:afterAutospacing="0" w:line="288" w:lineRule="auto"/>
                          <w:rPr>
                            <w:rFonts w:ascii="Arial" w:hAnsi="Arial" w:cs="Arial"/>
                            <w:color w:val="000000"/>
                            <w:sz w:val="20"/>
                            <w:szCs w:val="20"/>
                          </w:rPr>
                        </w:pPr>
                        <w:r>
                          <w:rPr>
                            <w:rFonts w:ascii="Arial" w:hAnsi="Arial" w:cs="Arial"/>
                            <w:color w:val="000000"/>
                            <w:sz w:val="20"/>
                            <w:szCs w:val="20"/>
                          </w:rPr>
                          <w:t>Similarly, evictions of persons from properties previously secured by Sections 184 or 184A guaranteed loans, where the lender has acquired title, are also suspended for a period of 60 days from the date of issuance.</w:t>
                        </w:r>
                      </w:p>
                      <w:p w14:paraId="6FF93B8C" w14:textId="77777777" w:rsidR="006E625E" w:rsidRDefault="006E625E" w:rsidP="006E625E">
                        <w:pPr>
                          <w:pStyle w:val="NormalWeb"/>
                          <w:spacing w:before="150" w:beforeAutospacing="0" w:after="150" w:afterAutospacing="0" w:line="288" w:lineRule="auto"/>
                          <w:rPr>
                            <w:rFonts w:ascii="Arial" w:hAnsi="Arial" w:cs="Arial"/>
                            <w:color w:val="000000"/>
                            <w:sz w:val="20"/>
                            <w:szCs w:val="20"/>
                          </w:rPr>
                        </w:pPr>
                        <w:r>
                          <w:rPr>
                            <w:rFonts w:ascii="Arial" w:hAnsi="Arial" w:cs="Arial"/>
                            <w:color w:val="000000"/>
                            <w:sz w:val="20"/>
                            <w:szCs w:val="20"/>
                          </w:rPr>
                          <w:lastRenderedPageBreak/>
                          <w:t>In addition, deadlines of the first legal action and reasonable diligence timelines are extended by 60 days from the date of issuance.</w:t>
                        </w:r>
                      </w:p>
                      <w:p w14:paraId="476E5C33" w14:textId="77777777" w:rsidR="006E625E" w:rsidRDefault="006E625E" w:rsidP="006E625E">
                        <w:pPr>
                          <w:pStyle w:val="NormalWeb"/>
                          <w:spacing w:before="150" w:beforeAutospacing="0" w:after="150" w:afterAutospacing="0" w:line="288" w:lineRule="auto"/>
                          <w:rPr>
                            <w:rFonts w:ascii="Arial" w:hAnsi="Arial" w:cs="Arial"/>
                            <w:color w:val="000000"/>
                            <w:sz w:val="20"/>
                            <w:szCs w:val="20"/>
                          </w:rPr>
                        </w:pPr>
                        <w:r>
                          <w:rPr>
                            <w:rFonts w:ascii="Arial" w:hAnsi="Arial" w:cs="Arial"/>
                            <w:color w:val="000000"/>
                            <w:sz w:val="20"/>
                            <w:szCs w:val="20"/>
                          </w:rPr>
                          <w:t xml:space="preserve">Any questions regarding this Mortgagee Letter may be directed to </w:t>
                        </w:r>
                        <w:proofErr w:type="spellStart"/>
                        <w:r>
                          <w:rPr>
                            <w:rFonts w:ascii="Arial" w:hAnsi="Arial" w:cs="Arial"/>
                            <w:color w:val="000000"/>
                            <w:sz w:val="20"/>
                            <w:szCs w:val="20"/>
                          </w:rPr>
                          <w:t>Krisa</w:t>
                        </w:r>
                        <w:proofErr w:type="spellEnd"/>
                        <w:r>
                          <w:rPr>
                            <w:rFonts w:ascii="Arial" w:hAnsi="Arial" w:cs="Arial"/>
                            <w:color w:val="000000"/>
                            <w:sz w:val="20"/>
                            <w:szCs w:val="20"/>
                          </w:rPr>
                          <w:t xml:space="preserve"> M. Johnson at </w:t>
                        </w:r>
                        <w:hyperlink r:id="rId5" w:tgtFrame="_blank" w:history="1">
                          <w:r>
                            <w:rPr>
                              <w:rStyle w:val="Hyperlink"/>
                              <w:rFonts w:ascii="Arial" w:hAnsi="Arial" w:cs="Arial"/>
                              <w:sz w:val="20"/>
                              <w:szCs w:val="20"/>
                            </w:rPr>
                            <w:t>Krisa.M.Johnson@hud.gov</w:t>
                          </w:r>
                        </w:hyperlink>
                        <w:r>
                          <w:rPr>
                            <w:rFonts w:ascii="Arial" w:hAnsi="Arial" w:cs="Arial"/>
                            <w:color w:val="000000"/>
                            <w:sz w:val="20"/>
                            <w:szCs w:val="20"/>
                          </w:rPr>
                          <w:t>.</w:t>
                        </w:r>
                      </w:p>
                    </w:tc>
                  </w:tr>
                </w:tbl>
                <w:p w14:paraId="648812A4" w14:textId="1754A40B" w:rsidR="006E625E" w:rsidRDefault="006E625E" w:rsidP="006E625E">
                  <w:pPr>
                    <w:pStyle w:val="NormalWeb"/>
                    <w:spacing w:before="150" w:beforeAutospacing="0" w:after="150" w:afterAutospacing="0" w:line="288" w:lineRule="auto"/>
                    <w:rPr>
                      <w:rFonts w:ascii="Arial" w:hAnsi="Arial" w:cs="Arial"/>
                      <w:color w:val="000000"/>
                      <w:sz w:val="20"/>
                      <w:szCs w:val="20"/>
                    </w:rPr>
                  </w:pPr>
                </w:p>
                <w:p w14:paraId="53400EA5" w14:textId="77777777" w:rsidR="006E625E" w:rsidRDefault="006E625E" w:rsidP="006E625E">
                  <w:pPr>
                    <w:pStyle w:val="NormalWeb"/>
                    <w:spacing w:before="150" w:beforeAutospacing="0" w:after="150" w:afterAutospacing="0" w:line="288" w:lineRule="auto"/>
                    <w:rPr>
                      <w:rFonts w:ascii="Arial" w:hAnsi="Arial" w:cs="Arial"/>
                      <w:color w:val="000000"/>
                      <w:sz w:val="20"/>
                      <w:szCs w:val="20"/>
                    </w:rPr>
                  </w:pPr>
                  <w:r>
                    <w:rPr>
                      <w:rFonts w:ascii="Arial" w:hAnsi="Arial" w:cs="Arial"/>
                      <w:color w:val="000000"/>
                      <w:sz w:val="20"/>
                      <w:szCs w:val="20"/>
                    </w:rPr>
                    <w:t>Sincerely,</w:t>
                  </w:r>
                </w:p>
                <w:p w14:paraId="5B7EAD73" w14:textId="5A106BA6" w:rsidR="006E625E" w:rsidRDefault="006E625E" w:rsidP="006E625E">
                  <w:pPr>
                    <w:rPr>
                      <w:rFonts w:ascii="Times New Roman" w:hAnsi="Times New Roman" w:cs="Times New Roman"/>
                      <w:sz w:val="24"/>
                      <w:szCs w:val="24"/>
                    </w:rPr>
                  </w:pPr>
                  <w:r>
                    <w:rPr>
                      <w:noProof/>
                    </w:rPr>
                    <w:drawing>
                      <wp:inline distT="0" distB="0" distL="0" distR="0" wp14:anchorId="42FEA2A9" wp14:editId="3DB301B0">
                        <wp:extent cx="1060450" cy="469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073" t="52232" r="45086" b="33713"/>
                                <a:stretch/>
                              </pic:blipFill>
                              <pic:spPr bwMode="auto">
                                <a:xfrm>
                                  <a:off x="0" y="0"/>
                                  <a:ext cx="1060450" cy="469900"/>
                                </a:xfrm>
                                <a:prstGeom prst="rect">
                                  <a:avLst/>
                                </a:prstGeom>
                                <a:ln>
                                  <a:noFill/>
                                </a:ln>
                                <a:extLst>
                                  <a:ext uri="{53640926-AAD7-44D8-BBD7-CCE9431645EC}">
                                    <a14:shadowObscured xmlns:a14="http://schemas.microsoft.com/office/drawing/2010/main"/>
                                  </a:ext>
                                </a:extLst>
                              </pic:spPr>
                            </pic:pic>
                          </a:graphicData>
                        </a:graphic>
                      </wp:inline>
                    </w:drawing>
                  </w:r>
                </w:p>
                <w:p w14:paraId="25D108FE" w14:textId="77777777" w:rsidR="006E625E" w:rsidRDefault="006E625E" w:rsidP="006E625E">
                  <w:pPr>
                    <w:pStyle w:val="NormalWeb"/>
                    <w:spacing w:before="150" w:beforeAutospacing="0" w:after="150" w:afterAutospacing="0" w:line="288" w:lineRule="auto"/>
                    <w:rPr>
                      <w:rFonts w:ascii="Arial" w:hAnsi="Arial" w:cs="Arial"/>
                      <w:color w:val="000000"/>
                      <w:sz w:val="20"/>
                      <w:szCs w:val="20"/>
                    </w:rPr>
                  </w:pPr>
                  <w:r>
                    <w:rPr>
                      <w:rFonts w:ascii="Arial" w:hAnsi="Arial" w:cs="Arial"/>
                      <w:color w:val="000000"/>
                      <w:sz w:val="20"/>
                      <w:szCs w:val="20"/>
                    </w:rPr>
                    <w:t>Hunter Kurtz</w:t>
                  </w:r>
                  <w:r>
                    <w:rPr>
                      <w:rFonts w:ascii="Arial" w:hAnsi="Arial" w:cs="Arial"/>
                      <w:color w:val="000000"/>
                      <w:sz w:val="20"/>
                      <w:szCs w:val="20"/>
                    </w:rPr>
                    <w:br/>
                    <w:t>Assistant Secretary</w:t>
                  </w:r>
                  <w:r>
                    <w:rPr>
                      <w:rFonts w:ascii="Arial" w:hAnsi="Arial" w:cs="Arial"/>
                      <w:color w:val="000000"/>
                      <w:sz w:val="20"/>
                      <w:szCs w:val="20"/>
                    </w:rPr>
                    <w:br/>
                    <w:t>for Public and Indian Housing</w:t>
                  </w:r>
                </w:p>
                <w:p w14:paraId="5F52C78C" w14:textId="77777777" w:rsidR="006E625E" w:rsidRDefault="006E625E" w:rsidP="006E625E">
                  <w:pPr>
                    <w:pStyle w:val="NormalWeb"/>
                    <w:spacing w:before="150" w:beforeAutospacing="0" w:after="150" w:afterAutospacing="0" w:line="288" w:lineRule="auto"/>
                    <w:rPr>
                      <w:rFonts w:ascii="Arial" w:hAnsi="Arial" w:cs="Arial"/>
                      <w:color w:val="000000"/>
                      <w:sz w:val="20"/>
                      <w:szCs w:val="20"/>
                    </w:rPr>
                  </w:pPr>
                  <w:r>
                    <w:rPr>
                      <w:rFonts w:ascii="Arial" w:hAnsi="Arial" w:cs="Arial"/>
                      <w:color w:val="000000"/>
                      <w:sz w:val="20"/>
                      <w:szCs w:val="20"/>
                    </w:rPr>
                    <w:t>CC: Heidi J. Frechette</w:t>
                  </w:r>
                </w:p>
                <w:p w14:paraId="346E964D" w14:textId="05BE2672" w:rsidR="002A2F89" w:rsidRPr="002A2F89" w:rsidRDefault="002A2F89" w:rsidP="002A2F89">
                  <w:pPr>
                    <w:spacing w:before="150" w:after="150" w:line="288" w:lineRule="auto"/>
                    <w:rPr>
                      <w:rFonts w:ascii="Arial" w:eastAsia="Times New Roman" w:hAnsi="Arial" w:cs="Arial"/>
                      <w:color w:val="000000"/>
                      <w:sz w:val="20"/>
                      <w:szCs w:val="20"/>
                    </w:rPr>
                  </w:pPr>
                </w:p>
              </w:tc>
            </w:tr>
          </w:tbl>
          <w:p w14:paraId="4B8AF764" w14:textId="77777777" w:rsidR="002A2F89" w:rsidRPr="002A2F89" w:rsidRDefault="002A2F89" w:rsidP="002A2F89">
            <w:pPr>
              <w:spacing w:after="0" w:line="240" w:lineRule="auto"/>
              <w:rPr>
                <w:rFonts w:ascii="Times New Roman" w:eastAsia="Times New Roman" w:hAnsi="Times New Roman" w:cs="Times New Roman"/>
                <w:sz w:val="24"/>
                <w:szCs w:val="24"/>
              </w:rPr>
            </w:pPr>
          </w:p>
        </w:tc>
      </w:tr>
    </w:tbl>
    <w:p w14:paraId="6D4F46F6" w14:textId="1FD0D194" w:rsidR="00E06035" w:rsidRDefault="002A2F89">
      <w:pPr>
        <w:rPr>
          <w:noProof/>
        </w:rPr>
      </w:pPr>
      <w:r>
        <w:rPr>
          <w:noProof/>
        </w:rPr>
        <w:lastRenderedPageBreak/>
        <w:t xml:space="preserve"> </w:t>
      </w:r>
    </w:p>
    <w:p w14:paraId="2904E46C" w14:textId="3BBBCBEA" w:rsidR="006E625E" w:rsidRDefault="006E625E">
      <w:pPr>
        <w:rPr>
          <w:noProof/>
        </w:rPr>
      </w:pPr>
    </w:p>
    <w:p w14:paraId="2E8AB131" w14:textId="11E35A6B" w:rsidR="006E625E" w:rsidRDefault="006E625E"/>
    <w:sectPr w:rsidR="006E6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89"/>
    <w:rsid w:val="00025321"/>
    <w:rsid w:val="00037989"/>
    <w:rsid w:val="00076E0D"/>
    <w:rsid w:val="000C6493"/>
    <w:rsid w:val="000E42C2"/>
    <w:rsid w:val="001442DD"/>
    <w:rsid w:val="001753A4"/>
    <w:rsid w:val="0019609D"/>
    <w:rsid w:val="001B3CB6"/>
    <w:rsid w:val="00273286"/>
    <w:rsid w:val="002A2F89"/>
    <w:rsid w:val="003A7EE7"/>
    <w:rsid w:val="004C4FD3"/>
    <w:rsid w:val="005A633C"/>
    <w:rsid w:val="005F0598"/>
    <w:rsid w:val="006E625E"/>
    <w:rsid w:val="0071016C"/>
    <w:rsid w:val="00870468"/>
    <w:rsid w:val="00923A39"/>
    <w:rsid w:val="009447AD"/>
    <w:rsid w:val="00A3263E"/>
    <w:rsid w:val="00B2145F"/>
    <w:rsid w:val="00BE6C61"/>
    <w:rsid w:val="00C318CD"/>
    <w:rsid w:val="00C42B10"/>
    <w:rsid w:val="00E06035"/>
    <w:rsid w:val="00E81769"/>
    <w:rsid w:val="00F55ACC"/>
    <w:rsid w:val="00FB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3D71"/>
  <w15:chartTrackingRefBased/>
  <w15:docId w15:val="{DF6F475E-F20F-4892-949A-EB3EFA96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F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F89"/>
    <w:rPr>
      <w:b/>
      <w:bCs/>
    </w:rPr>
  </w:style>
  <w:style w:type="character" w:styleId="Hyperlink">
    <w:name w:val="Hyperlink"/>
    <w:basedOn w:val="DefaultParagraphFont"/>
    <w:uiPriority w:val="99"/>
    <w:semiHidden/>
    <w:unhideWhenUsed/>
    <w:rsid w:val="002A2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477179">
      <w:bodyDiv w:val="1"/>
      <w:marLeft w:val="0"/>
      <w:marRight w:val="0"/>
      <w:marTop w:val="0"/>
      <w:marBottom w:val="0"/>
      <w:divBdr>
        <w:top w:val="none" w:sz="0" w:space="0" w:color="auto"/>
        <w:left w:val="none" w:sz="0" w:space="0" w:color="auto"/>
        <w:bottom w:val="none" w:sz="0" w:space="0" w:color="auto"/>
        <w:right w:val="none" w:sz="0" w:space="0" w:color="auto"/>
      </w:divBdr>
    </w:div>
    <w:div w:id="203950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Krisa.M.Johnson@hud.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Russ-Niezgodzki</dc:creator>
  <cp:keywords/>
  <dc:description/>
  <cp:lastModifiedBy>Linda Russ-Niezgodzki</cp:lastModifiedBy>
  <cp:revision>3</cp:revision>
  <dcterms:created xsi:type="dcterms:W3CDTF">2020-04-02T21:15:00Z</dcterms:created>
  <dcterms:modified xsi:type="dcterms:W3CDTF">2020-04-02T21:17:00Z</dcterms:modified>
</cp:coreProperties>
</file>