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A5" w:rsidRPr="0046373D" w:rsidRDefault="00AD1002" w:rsidP="00AD1002">
      <w:pPr>
        <w:spacing w:after="0" w:line="240" w:lineRule="auto"/>
        <w:jc w:val="center"/>
        <w:rPr>
          <w:b/>
        </w:rPr>
      </w:pPr>
      <w:bookmarkStart w:id="0" w:name="_GoBack"/>
      <w:bookmarkEnd w:id="0"/>
      <w:r w:rsidRPr="0046373D">
        <w:rPr>
          <w:b/>
        </w:rPr>
        <w:t>[LETTERHEAD]</w:t>
      </w:r>
    </w:p>
    <w:p w:rsidR="00B605D2" w:rsidRPr="0046373D" w:rsidRDefault="00B605D2" w:rsidP="00B605D2">
      <w:pPr>
        <w:spacing w:after="0" w:line="240" w:lineRule="auto"/>
      </w:pPr>
    </w:p>
    <w:p w:rsidR="00AD1002" w:rsidRPr="0046373D" w:rsidRDefault="00AD1002" w:rsidP="00B605D2">
      <w:pPr>
        <w:spacing w:after="0" w:line="240" w:lineRule="auto"/>
      </w:pPr>
    </w:p>
    <w:p w:rsidR="00B605D2" w:rsidRPr="0046373D" w:rsidRDefault="00FC5E89" w:rsidP="008548A5">
      <w:pPr>
        <w:spacing w:after="0" w:line="240" w:lineRule="auto"/>
        <w:jc w:val="center"/>
      </w:pPr>
      <w:r w:rsidRPr="0046373D">
        <w:fldChar w:fldCharType="begin"/>
      </w:r>
      <w:r w:rsidR="001C6870" w:rsidRPr="0046373D">
        <w:instrText xml:space="preserve"> DATE \@ "MMMM d, yyyy" </w:instrText>
      </w:r>
      <w:r w:rsidRPr="0046373D">
        <w:fldChar w:fldCharType="separate"/>
      </w:r>
      <w:r w:rsidR="00D24DA5">
        <w:rPr>
          <w:noProof/>
        </w:rPr>
        <w:t>May 8, 2018</w:t>
      </w:r>
      <w:r w:rsidRPr="0046373D">
        <w:fldChar w:fldCharType="end"/>
      </w:r>
    </w:p>
    <w:p w:rsidR="00B605D2" w:rsidRPr="0046373D" w:rsidRDefault="00B605D2" w:rsidP="00B605D2">
      <w:pPr>
        <w:spacing w:after="0" w:line="240" w:lineRule="auto"/>
      </w:pPr>
    </w:p>
    <w:p w:rsidR="00B605D2" w:rsidRPr="0046373D" w:rsidRDefault="00B605D2" w:rsidP="00B605D2">
      <w:pPr>
        <w:spacing w:after="0" w:line="240" w:lineRule="auto"/>
      </w:pPr>
    </w:p>
    <w:p w:rsidR="00765133" w:rsidRPr="0046373D" w:rsidRDefault="00765133" w:rsidP="00B605D2">
      <w:pPr>
        <w:spacing w:after="0" w:line="240" w:lineRule="auto"/>
      </w:pPr>
      <w:r w:rsidRPr="0046373D">
        <w:t>Heidi J. Frechette, Deputy Assistant Secretary</w:t>
      </w:r>
    </w:p>
    <w:p w:rsidR="00765133" w:rsidRPr="0046373D" w:rsidRDefault="00765133" w:rsidP="00B605D2">
      <w:pPr>
        <w:spacing w:after="0" w:line="240" w:lineRule="auto"/>
      </w:pPr>
      <w:r w:rsidRPr="0046373D">
        <w:t>Office of Native American Programs</w:t>
      </w:r>
    </w:p>
    <w:p w:rsidR="00765133" w:rsidRPr="0046373D" w:rsidRDefault="00765133" w:rsidP="00B605D2">
      <w:pPr>
        <w:spacing w:after="0" w:line="240" w:lineRule="auto"/>
      </w:pPr>
      <w:r w:rsidRPr="0046373D">
        <w:t>U.S. Department of Housing and Urban Development</w:t>
      </w:r>
    </w:p>
    <w:p w:rsidR="008A29A9" w:rsidRPr="0046373D" w:rsidRDefault="008A29A9" w:rsidP="00B605D2">
      <w:pPr>
        <w:spacing w:after="0" w:line="240" w:lineRule="auto"/>
      </w:pPr>
      <w:r w:rsidRPr="0046373D">
        <w:t>451 Seventh Street SW</w:t>
      </w:r>
    </w:p>
    <w:p w:rsidR="008A29A9" w:rsidRPr="0046373D" w:rsidRDefault="008A29A9" w:rsidP="00B605D2">
      <w:pPr>
        <w:spacing w:after="0" w:line="240" w:lineRule="auto"/>
      </w:pPr>
      <w:r w:rsidRPr="0046373D">
        <w:t xml:space="preserve">Room </w:t>
      </w:r>
      <w:r w:rsidR="00765133" w:rsidRPr="0046373D">
        <w:t>4126</w:t>
      </w:r>
    </w:p>
    <w:p w:rsidR="008A29A9" w:rsidRPr="0046373D" w:rsidRDefault="008A29A9" w:rsidP="00B605D2">
      <w:pPr>
        <w:spacing w:after="0" w:line="240" w:lineRule="auto"/>
      </w:pPr>
      <w:r w:rsidRPr="0046373D">
        <w:t>Washington, DC 20410</w:t>
      </w:r>
    </w:p>
    <w:p w:rsidR="008A29A9" w:rsidRPr="0046373D" w:rsidRDefault="008A29A9" w:rsidP="00B605D2">
      <w:pPr>
        <w:spacing w:after="0" w:line="240" w:lineRule="auto"/>
      </w:pPr>
    </w:p>
    <w:p w:rsidR="00B605D2" w:rsidRPr="0046373D" w:rsidRDefault="00B605D2" w:rsidP="00A76682">
      <w:pPr>
        <w:spacing w:after="0" w:line="240" w:lineRule="auto"/>
        <w:ind w:left="1440" w:hanging="720"/>
        <w:rPr>
          <w:b/>
        </w:rPr>
      </w:pPr>
      <w:r w:rsidRPr="0046373D">
        <w:rPr>
          <w:b/>
        </w:rPr>
        <w:t xml:space="preserve">Re: </w:t>
      </w:r>
      <w:r w:rsidR="00A76682" w:rsidRPr="0046373D">
        <w:rPr>
          <w:b/>
        </w:rPr>
        <w:tab/>
      </w:r>
      <w:r w:rsidR="00765133" w:rsidRPr="0046373D">
        <w:rPr>
          <w:b/>
        </w:rPr>
        <w:t xml:space="preserve">Proposed Changes to </w:t>
      </w:r>
      <w:r w:rsidR="00A76682" w:rsidRPr="0046373D">
        <w:rPr>
          <w:b/>
        </w:rPr>
        <w:t xml:space="preserve">Section 184 Indian Housing Loan Guarantee Program </w:t>
      </w:r>
      <w:r w:rsidR="00765133" w:rsidRPr="0046373D">
        <w:rPr>
          <w:b/>
        </w:rPr>
        <w:t>regulations</w:t>
      </w:r>
    </w:p>
    <w:p w:rsidR="00B605D2" w:rsidRPr="0046373D" w:rsidRDefault="00B605D2" w:rsidP="00B605D2">
      <w:pPr>
        <w:spacing w:after="0" w:line="240" w:lineRule="auto"/>
        <w:rPr>
          <w:highlight w:val="yellow"/>
        </w:rPr>
      </w:pPr>
    </w:p>
    <w:p w:rsidR="00B605D2" w:rsidRPr="0046373D" w:rsidRDefault="00B605D2" w:rsidP="00650CE6">
      <w:pPr>
        <w:spacing w:after="0" w:line="240" w:lineRule="auto"/>
        <w:jc w:val="both"/>
      </w:pPr>
      <w:r w:rsidRPr="0046373D">
        <w:t>Dear M</w:t>
      </w:r>
      <w:r w:rsidR="00765133" w:rsidRPr="0046373D">
        <w:t>s</w:t>
      </w:r>
      <w:r w:rsidR="00A76682" w:rsidRPr="0046373D">
        <w:t xml:space="preserve">. </w:t>
      </w:r>
      <w:r w:rsidR="00765133" w:rsidRPr="0046373D">
        <w:t>Frechette</w:t>
      </w:r>
      <w:r w:rsidR="00A76682" w:rsidRPr="0046373D">
        <w:t>,</w:t>
      </w:r>
    </w:p>
    <w:p w:rsidR="00B605D2" w:rsidRPr="0046373D" w:rsidRDefault="00B605D2" w:rsidP="00650CE6">
      <w:pPr>
        <w:spacing w:after="0" w:line="240" w:lineRule="auto"/>
        <w:jc w:val="both"/>
      </w:pPr>
    </w:p>
    <w:p w:rsidR="004F2931" w:rsidRPr="0046373D" w:rsidRDefault="006A20B7" w:rsidP="00650CE6">
      <w:pPr>
        <w:spacing w:after="0" w:line="240" w:lineRule="auto"/>
        <w:ind w:firstLine="720"/>
        <w:jc w:val="both"/>
      </w:pPr>
      <w:r w:rsidRPr="0046373D">
        <w:t>T</w:t>
      </w:r>
      <w:r w:rsidR="00664D6B" w:rsidRPr="0046373D">
        <w:t xml:space="preserve">he </w:t>
      </w:r>
      <w:r w:rsidR="00DC7F21">
        <w:rPr>
          <w:b/>
        </w:rPr>
        <w:t>[NAME OF ENTITY]</w:t>
      </w:r>
      <w:r w:rsidR="00945D57" w:rsidRPr="0046373D">
        <w:t xml:space="preserve"> (</w:t>
      </w:r>
      <w:r w:rsidR="00DC7F21">
        <w:rPr>
          <w:b/>
        </w:rPr>
        <w:t>[SHORT NAME]</w:t>
      </w:r>
      <w:r w:rsidR="00945D57" w:rsidRPr="0046373D">
        <w:t>)</w:t>
      </w:r>
      <w:r w:rsidR="004F2931" w:rsidRPr="0046373D">
        <w:t xml:space="preserve">, the </w:t>
      </w:r>
      <w:r w:rsidR="00DC7F21">
        <w:rPr>
          <w:b/>
        </w:rPr>
        <w:t>[</w:t>
      </w:r>
      <w:r w:rsidR="004F2931" w:rsidRPr="0046373D">
        <w:t xml:space="preserve">Tribally Designated Housing Entity for the </w:t>
      </w:r>
      <w:r w:rsidR="00DC7F21">
        <w:rPr>
          <w:b/>
        </w:rPr>
        <w:t>[NAME OF TRIBE]</w:t>
      </w:r>
      <w:r w:rsidR="004F2931" w:rsidRPr="0046373D">
        <w:t xml:space="preserve"> (</w:t>
      </w:r>
      <w:r w:rsidR="00DC7F21">
        <w:rPr>
          <w:b/>
        </w:rPr>
        <w:t>[TRIBE][PUEBLO]][NAME OF TRIBE HOUSING PROGRAM]</w:t>
      </w:r>
      <w:r w:rsidR="004F2931" w:rsidRPr="0046373D">
        <w:t>), provides this letter to the U.S. Department of Housing and Urban Development (HUD) to communicate its co</w:t>
      </w:r>
      <w:r w:rsidR="00CA3BB5" w:rsidRPr="0046373D">
        <w:t>mments</w:t>
      </w:r>
      <w:r w:rsidR="004F2931" w:rsidRPr="0046373D">
        <w:t xml:space="preserve"> and recommendations regarding proposed changes to the Section 184 Indian Housing Loan Guarantee Program (Section 184) regulations</w:t>
      </w:r>
      <w:r w:rsidR="00CA3BB5" w:rsidRPr="0046373D">
        <w:t xml:space="preserve"> which comments and recommendations are focused on </w:t>
      </w:r>
      <w:r w:rsidR="008E420A">
        <w:t>general concerns</w:t>
      </w:r>
      <w:r w:rsidR="00CA3BB5" w:rsidRPr="0046373D">
        <w:t>, negotiated rulemaking, tribal consultation</w:t>
      </w:r>
      <w:r w:rsidR="008E420A">
        <w:t>, and specific regulatory provisions</w:t>
      </w:r>
      <w:r w:rsidR="004F2931" w:rsidRPr="0046373D">
        <w:t>.</w:t>
      </w:r>
    </w:p>
    <w:p w:rsidR="001B05C4" w:rsidRPr="0046373D" w:rsidRDefault="001B05C4" w:rsidP="001B05C4">
      <w:pPr>
        <w:spacing w:after="0" w:line="240" w:lineRule="auto"/>
        <w:jc w:val="both"/>
      </w:pPr>
    </w:p>
    <w:p w:rsidR="001B05C4" w:rsidRPr="0046373D" w:rsidRDefault="001B05C4" w:rsidP="001B05C4">
      <w:pPr>
        <w:spacing w:after="0" w:line="240" w:lineRule="auto"/>
        <w:jc w:val="center"/>
        <w:rPr>
          <w:b/>
        </w:rPr>
      </w:pPr>
      <w:r w:rsidRPr="0046373D">
        <w:rPr>
          <w:b/>
        </w:rPr>
        <w:t>GENERAL CONCERNS</w:t>
      </w:r>
    </w:p>
    <w:p w:rsidR="00472B26" w:rsidRPr="0046373D" w:rsidRDefault="00472B26" w:rsidP="00650CE6">
      <w:pPr>
        <w:spacing w:after="0" w:line="240" w:lineRule="auto"/>
        <w:ind w:firstLine="720"/>
        <w:jc w:val="both"/>
      </w:pPr>
    </w:p>
    <w:p w:rsidR="007C44A2" w:rsidRPr="0046373D" w:rsidRDefault="00F13674" w:rsidP="008E420A">
      <w:pPr>
        <w:spacing w:after="0" w:line="240" w:lineRule="auto"/>
        <w:ind w:firstLine="720"/>
        <w:jc w:val="both"/>
      </w:pPr>
      <w:r w:rsidRPr="0046373D">
        <w:rPr>
          <w:b/>
          <w:u w:val="single"/>
        </w:rPr>
        <w:t xml:space="preserve">Number of </w:t>
      </w:r>
      <w:r w:rsidR="007C44A2" w:rsidRPr="0046373D">
        <w:rPr>
          <w:b/>
          <w:u w:val="single"/>
        </w:rPr>
        <w:t>structures</w:t>
      </w:r>
      <w:r w:rsidRPr="0046373D">
        <w:rPr>
          <w:b/>
          <w:u w:val="single"/>
        </w:rPr>
        <w:t xml:space="preserve"> covered under </w:t>
      </w:r>
      <w:r w:rsidR="00CA3BB5" w:rsidRPr="0046373D">
        <w:rPr>
          <w:b/>
          <w:u w:val="single"/>
        </w:rPr>
        <w:t xml:space="preserve">Section 184 </w:t>
      </w:r>
      <w:r w:rsidR="00C5157B" w:rsidRPr="0046373D">
        <w:rPr>
          <w:b/>
          <w:u w:val="single"/>
        </w:rPr>
        <w:t>loan guarantee</w:t>
      </w:r>
      <w:r w:rsidR="00CA3BB5" w:rsidRPr="0046373D">
        <w:rPr>
          <w:b/>
          <w:u w:val="single"/>
        </w:rPr>
        <w:t>s</w:t>
      </w:r>
      <w:r w:rsidRPr="0046373D">
        <w:t>.</w:t>
      </w:r>
      <w:r w:rsidR="00E67B70" w:rsidRPr="0046373D">
        <w:t xml:space="preserve">  </w:t>
      </w:r>
      <w:r w:rsidRPr="0046373D">
        <w:t xml:space="preserve">Section 1005.101 of </w:t>
      </w:r>
      <w:r w:rsidR="00CA3BB5" w:rsidRPr="0046373D">
        <w:t xml:space="preserve">the </w:t>
      </w:r>
      <w:r w:rsidRPr="0046373D">
        <w:t xml:space="preserve">Section 184 </w:t>
      </w:r>
      <w:r w:rsidR="00CA3BB5" w:rsidRPr="0046373D">
        <w:t xml:space="preserve">regulations </w:t>
      </w:r>
      <w:r w:rsidRPr="0046373D">
        <w:t>provides that loans guaranteed under the Section 184 program are to be used to acquire, construct, or rehabilitate 1- to 4</w:t>
      </w:r>
      <w:r w:rsidR="008E420A">
        <w:t>-</w:t>
      </w:r>
      <w:r w:rsidRPr="0046373D">
        <w:t>family homes</w:t>
      </w:r>
      <w:r w:rsidR="00C80582" w:rsidRPr="0046373D">
        <w:t xml:space="preserve">.  </w:t>
      </w:r>
      <w:r w:rsidR="007C44A2" w:rsidRPr="0046373D">
        <w:t xml:space="preserve">Section 1715z-13a(b)(2) of the statute provides that the 184 </w:t>
      </w:r>
      <w:proofErr w:type="gramStart"/>
      <w:r w:rsidR="007C44A2" w:rsidRPr="0046373D">
        <w:t>loan</w:t>
      </w:r>
      <w:proofErr w:type="gramEnd"/>
      <w:r w:rsidR="007C44A2" w:rsidRPr="0046373D">
        <w:t xml:space="preserve"> shall be used in relation to 1- to 4-family dwellings.</w:t>
      </w:r>
      <w:r w:rsidR="005A6743" w:rsidRPr="0046373D">
        <w:t xml:space="preserve">  Neither the statute nor the regulations define “home” or “dwelling.”</w:t>
      </w:r>
    </w:p>
    <w:p w:rsidR="005A6743" w:rsidRPr="0046373D" w:rsidRDefault="005A6743" w:rsidP="007C44A2">
      <w:pPr>
        <w:spacing w:after="0" w:line="240" w:lineRule="auto"/>
        <w:jc w:val="both"/>
      </w:pPr>
    </w:p>
    <w:p w:rsidR="00A21BD1" w:rsidRPr="0046373D" w:rsidRDefault="005A6743" w:rsidP="008E420A">
      <w:pPr>
        <w:spacing w:after="0" w:line="240" w:lineRule="auto"/>
        <w:ind w:firstLine="720"/>
        <w:jc w:val="both"/>
      </w:pPr>
      <w:r w:rsidRPr="0046373D">
        <w:t xml:space="preserve">The regulations establish a residency requirement.  Section 1005.105 </w:t>
      </w:r>
      <w:r w:rsidR="008E420A">
        <w:t xml:space="preserve">of the Section 184 regulations </w:t>
      </w:r>
      <w:r w:rsidRPr="0046373D">
        <w:t xml:space="preserve">provides that, for an Indian family, the family must </w:t>
      </w:r>
      <w:r w:rsidR="00C4165F" w:rsidRPr="0046373D">
        <w:t xml:space="preserve">occupy the home as a principal residence.  Principal residence is defined in §1005.103 as </w:t>
      </w:r>
    </w:p>
    <w:p w:rsidR="00A21BD1" w:rsidRPr="0046373D" w:rsidRDefault="00A21BD1" w:rsidP="007C44A2">
      <w:pPr>
        <w:spacing w:after="0" w:line="240" w:lineRule="auto"/>
        <w:jc w:val="both"/>
      </w:pPr>
    </w:p>
    <w:p w:rsidR="00A21BD1" w:rsidRPr="0046373D" w:rsidRDefault="00A21BD1" w:rsidP="00A21BD1">
      <w:pPr>
        <w:spacing w:after="0" w:line="240" w:lineRule="auto"/>
        <w:ind w:left="720" w:right="720"/>
        <w:jc w:val="both"/>
      </w:pPr>
      <w:r w:rsidRPr="0046373D">
        <w:t>[T]</w:t>
      </w:r>
      <w:r w:rsidR="00C4165F" w:rsidRPr="0046373D">
        <w:t xml:space="preserve">he dwelling where the mortgagor maintains (or will maintain) his or her permanent place of abode, and typically spends (or will spend) the majority of the calendar year.  A person may have only one principal residence at any one time.  </w:t>
      </w:r>
    </w:p>
    <w:p w:rsidR="00A21BD1" w:rsidRPr="0046373D" w:rsidRDefault="00A21BD1" w:rsidP="007C44A2">
      <w:pPr>
        <w:spacing w:after="0" w:line="240" w:lineRule="auto"/>
        <w:jc w:val="both"/>
      </w:pPr>
    </w:p>
    <w:p w:rsidR="005A6743" w:rsidRDefault="00C4165F" w:rsidP="007C44A2">
      <w:pPr>
        <w:spacing w:after="0" w:line="240" w:lineRule="auto"/>
        <w:jc w:val="both"/>
      </w:pPr>
      <w:r w:rsidRPr="0046373D">
        <w:t>These provisions, at least for an Indian family</w:t>
      </w:r>
      <w:r w:rsidR="00A21BD1" w:rsidRPr="0046373D">
        <w:t>,</w:t>
      </w:r>
      <w:r w:rsidRPr="0046373D">
        <w:t xml:space="preserve"> means that the structure subject to the mortgage </w:t>
      </w:r>
      <w:r w:rsidR="00A21BD1" w:rsidRPr="0046373D">
        <w:t xml:space="preserve">can only be one individual residence or </w:t>
      </w:r>
      <w:r w:rsidR="0046373D" w:rsidRPr="0046373D">
        <w:t xml:space="preserve">a </w:t>
      </w:r>
      <w:r w:rsidR="00A21BD1" w:rsidRPr="0046373D">
        <w:t xml:space="preserve">single multi-family unit of up to four residences in which one </w:t>
      </w:r>
      <w:r w:rsidR="002E651C">
        <w:t xml:space="preserve">residence </w:t>
      </w:r>
      <w:r w:rsidR="00A21BD1" w:rsidRPr="0046373D">
        <w:t>is occupied by the borrower.</w:t>
      </w:r>
      <w:r w:rsidR="0046373D" w:rsidRPr="0046373D">
        <w:t xml:space="preserve">  Because of this language, financial institutions apply the restrictions to eligible </w:t>
      </w:r>
      <w:r w:rsidR="00B17FD2">
        <w:t>borrowers</w:t>
      </w:r>
      <w:r w:rsidR="0046373D" w:rsidRPr="0046373D">
        <w:t xml:space="preserve"> other than Indian families.</w:t>
      </w:r>
      <w:r w:rsidR="0046373D">
        <w:t xml:space="preserve">  </w:t>
      </w:r>
    </w:p>
    <w:p w:rsidR="0046373D" w:rsidRPr="0046373D" w:rsidRDefault="0046373D" w:rsidP="007C44A2">
      <w:pPr>
        <w:spacing w:after="0" w:line="240" w:lineRule="auto"/>
        <w:jc w:val="both"/>
      </w:pPr>
    </w:p>
    <w:p w:rsidR="00C80582" w:rsidRPr="0046373D" w:rsidRDefault="00C80582" w:rsidP="00E67B70">
      <w:pPr>
        <w:spacing w:after="0" w:line="240" w:lineRule="auto"/>
        <w:ind w:firstLine="720"/>
        <w:jc w:val="both"/>
      </w:pPr>
      <w:r w:rsidRPr="0046373D">
        <w:t xml:space="preserve">Section 1005.105 of Section 184 provides that a loan guarantee may be made homes </w:t>
      </w:r>
      <w:r w:rsidR="00E67B70" w:rsidRPr="0046373D">
        <w:t>for the following entities:</w:t>
      </w:r>
    </w:p>
    <w:p w:rsidR="00C80582" w:rsidRPr="0046373D" w:rsidRDefault="00C80582" w:rsidP="00F13674">
      <w:pPr>
        <w:spacing w:after="0" w:line="240" w:lineRule="auto"/>
        <w:ind w:firstLine="720"/>
        <w:jc w:val="both"/>
      </w:pPr>
    </w:p>
    <w:p w:rsidR="00F13674" w:rsidRPr="0046373D" w:rsidRDefault="00C80582" w:rsidP="00E67B70">
      <w:pPr>
        <w:pStyle w:val="ListParagraph"/>
        <w:numPr>
          <w:ilvl w:val="0"/>
          <w:numId w:val="3"/>
        </w:numPr>
        <w:spacing w:after="0" w:line="240" w:lineRule="auto"/>
        <w:ind w:left="2160" w:hanging="720"/>
        <w:jc w:val="both"/>
      </w:pPr>
      <w:r w:rsidRPr="0046373D">
        <w:lastRenderedPageBreak/>
        <w:t xml:space="preserve">An  Indian family who will occupy the home as a principle residence; </w:t>
      </w:r>
    </w:p>
    <w:p w:rsidR="00C80582" w:rsidRPr="0046373D" w:rsidRDefault="00C80582" w:rsidP="00E67B70">
      <w:pPr>
        <w:pStyle w:val="ListParagraph"/>
        <w:numPr>
          <w:ilvl w:val="0"/>
          <w:numId w:val="3"/>
        </w:numPr>
        <w:spacing w:after="0" w:line="240" w:lineRule="auto"/>
        <w:ind w:left="2160" w:hanging="720"/>
        <w:jc w:val="both"/>
      </w:pPr>
      <w:r w:rsidRPr="0046373D">
        <w:t xml:space="preserve">Indian Housing Authority or Tribally Designated Housing Entity (collectively “Tribal Housing Program”); or </w:t>
      </w:r>
    </w:p>
    <w:p w:rsidR="00C80582" w:rsidRPr="0046373D" w:rsidRDefault="00C80582" w:rsidP="00E67B70">
      <w:pPr>
        <w:pStyle w:val="ListParagraph"/>
        <w:numPr>
          <w:ilvl w:val="0"/>
          <w:numId w:val="3"/>
        </w:numPr>
        <w:spacing w:after="0" w:line="240" w:lineRule="auto"/>
        <w:ind w:firstLine="360"/>
        <w:jc w:val="both"/>
      </w:pPr>
      <w:r w:rsidRPr="0046373D">
        <w:t>Indian tribe.</w:t>
      </w:r>
    </w:p>
    <w:p w:rsidR="001B05C4" w:rsidRPr="0046373D" w:rsidRDefault="001B05C4" w:rsidP="00C80582">
      <w:pPr>
        <w:spacing w:after="0" w:line="240" w:lineRule="auto"/>
        <w:jc w:val="both"/>
      </w:pPr>
    </w:p>
    <w:p w:rsidR="00792A95" w:rsidRPr="0046373D" w:rsidRDefault="00D8250E" w:rsidP="006101F3">
      <w:pPr>
        <w:spacing w:after="0" w:line="240" w:lineRule="auto"/>
        <w:ind w:firstLine="720"/>
        <w:jc w:val="both"/>
      </w:pPr>
      <w:r w:rsidRPr="0046373D">
        <w:t xml:space="preserve">Unfortunately, HUD is applying the same loan guarantee limit </w:t>
      </w:r>
      <w:r w:rsidR="00CA3BB5" w:rsidRPr="0046373D">
        <w:t xml:space="preserve">under Section 184 </w:t>
      </w:r>
      <w:r w:rsidRPr="0046373D">
        <w:t xml:space="preserve">to Tribal Housing Programs and Indian tribes even though </w:t>
      </w:r>
      <w:r w:rsidR="00CA3BB5" w:rsidRPr="0046373D">
        <w:t xml:space="preserve">a </w:t>
      </w:r>
      <w:r w:rsidRPr="0046373D">
        <w:t xml:space="preserve">residency requirement does not exist for such entities.  </w:t>
      </w:r>
      <w:r w:rsidR="00B87AB7" w:rsidRPr="0046373D">
        <w:t xml:space="preserve">Specifically, </w:t>
      </w:r>
      <w:r w:rsidRPr="0046373D">
        <w:t xml:space="preserve">HUD is preventing </w:t>
      </w:r>
      <w:r w:rsidR="00B87AB7" w:rsidRPr="0046373D">
        <w:t>Tribal Housing Program</w:t>
      </w:r>
      <w:r w:rsidRPr="0046373D">
        <w:t xml:space="preserve">s and Indian tribes, entities that typically construct, acquire, or rehabilitate several housing units at </w:t>
      </w:r>
      <w:r w:rsidR="00CA3BB5" w:rsidRPr="0046373D">
        <w:t xml:space="preserve">one </w:t>
      </w:r>
      <w:r w:rsidRPr="0046373D">
        <w:t xml:space="preserve">time, </w:t>
      </w:r>
      <w:r w:rsidR="00CA3BB5" w:rsidRPr="0046373D">
        <w:t xml:space="preserve">from bundling </w:t>
      </w:r>
      <w:r w:rsidRPr="0046373D">
        <w:t xml:space="preserve">up to four of these housing units </w:t>
      </w:r>
      <w:r w:rsidR="00CA3BB5" w:rsidRPr="0046373D">
        <w:t xml:space="preserve">under one </w:t>
      </w:r>
      <w:r w:rsidRPr="0046373D">
        <w:t>loan guarantee.</w:t>
      </w:r>
      <w:r w:rsidR="00792A95" w:rsidRPr="0046373D">
        <w:t xml:space="preserve">  </w:t>
      </w:r>
      <w:r w:rsidR="00DC7F21">
        <w:t>[SHORT NAME]</w:t>
      </w:r>
      <w:r w:rsidR="00792A95" w:rsidRPr="0046373D">
        <w:t xml:space="preserve"> disagrees with this approach which is unsupported by the Section 184 regulations and places an unnecessary </w:t>
      </w:r>
      <w:r w:rsidR="00CE2B9C" w:rsidRPr="0046373D">
        <w:t xml:space="preserve">administrative </w:t>
      </w:r>
      <w:r w:rsidR="00792A95" w:rsidRPr="0046373D">
        <w:t xml:space="preserve">burden on Tribal Housing Programs and Indian tribes that are simply trying to provide affordable housing to Indian families.  </w:t>
      </w:r>
    </w:p>
    <w:p w:rsidR="00792A95" w:rsidRPr="0046373D" w:rsidRDefault="00792A95" w:rsidP="00D8250E">
      <w:pPr>
        <w:spacing w:after="0" w:line="240" w:lineRule="auto"/>
        <w:jc w:val="both"/>
        <w:rPr>
          <w:highlight w:val="yellow"/>
        </w:rPr>
      </w:pPr>
    </w:p>
    <w:p w:rsidR="00792A95" w:rsidRDefault="00DC7F21" w:rsidP="006101F3">
      <w:pPr>
        <w:spacing w:after="0" w:line="240" w:lineRule="auto"/>
        <w:ind w:firstLine="720"/>
        <w:jc w:val="both"/>
      </w:pPr>
      <w:r>
        <w:t>[SHORT NAME]</w:t>
      </w:r>
      <w:r w:rsidR="00792A95" w:rsidRPr="0046373D">
        <w:t xml:space="preserve"> finds that HUD has overreached its understanding of the Section 184 </w:t>
      </w:r>
      <w:r w:rsidR="00811F15">
        <w:t>statute</w:t>
      </w:r>
      <w:r w:rsidR="00792A95" w:rsidRPr="0046373D">
        <w:t xml:space="preserve"> by requiring Tribal Housing Programs and Indian tribes to obtain loan guarantees </w:t>
      </w:r>
      <w:r w:rsidR="00811F15">
        <w:t>in the same manner as individual Indian families</w:t>
      </w:r>
      <w:r w:rsidR="00B17FD2">
        <w:t>.  Specifically, HUD is</w:t>
      </w:r>
      <w:r w:rsidR="00811F15">
        <w:t xml:space="preserve"> requiring </w:t>
      </w:r>
      <w:r w:rsidR="00B17FD2">
        <w:t>Tribal</w:t>
      </w:r>
      <w:r w:rsidR="00811F15">
        <w:t xml:space="preserve"> Housing Programs </w:t>
      </w:r>
      <w:r w:rsidR="00B17FD2">
        <w:t>or Indian</w:t>
      </w:r>
      <w:r w:rsidR="00811F15">
        <w:t xml:space="preserve"> Tribes to service loans for </w:t>
      </w:r>
      <w:r w:rsidR="00B17FD2">
        <w:t>individual</w:t>
      </w:r>
      <w:r w:rsidR="00811F15">
        <w:t xml:space="preserve"> residence if t</w:t>
      </w:r>
      <w:r w:rsidR="00B17FD2">
        <w:t>hey</w:t>
      </w:r>
      <w:r w:rsidR="00811F15">
        <w:t xml:space="preserve"> choose not to construct or purchase multi</w:t>
      </w:r>
      <w:r w:rsidR="00B17FD2">
        <w:t>family housing units</w:t>
      </w:r>
      <w:r w:rsidR="00792A95" w:rsidRPr="0046373D">
        <w:t xml:space="preserve">.  As such, </w:t>
      </w:r>
      <w:r>
        <w:t>[SHORT NAME]</w:t>
      </w:r>
      <w:r w:rsidR="00792A95" w:rsidRPr="0046373D">
        <w:t xml:space="preserve"> recommends that </w:t>
      </w:r>
      <w:r w:rsidR="006A0443" w:rsidRPr="0046373D">
        <w:t>proposed changes to the S</w:t>
      </w:r>
      <w:r w:rsidR="00792A95" w:rsidRPr="0046373D">
        <w:t xml:space="preserve">ection 184 regulations </w:t>
      </w:r>
      <w:r w:rsidR="006A0443" w:rsidRPr="0046373D">
        <w:t xml:space="preserve">include allowing </w:t>
      </w:r>
      <w:r w:rsidR="00CA3BB5" w:rsidRPr="0046373D">
        <w:t xml:space="preserve">a </w:t>
      </w:r>
      <w:r w:rsidR="00792A95" w:rsidRPr="0046373D">
        <w:t xml:space="preserve">Tribal Housing Program </w:t>
      </w:r>
      <w:r w:rsidR="00CA3BB5" w:rsidRPr="0046373D">
        <w:t xml:space="preserve">or </w:t>
      </w:r>
      <w:r w:rsidR="00792A95" w:rsidRPr="0046373D">
        <w:t xml:space="preserve">Indian tribe to obtain </w:t>
      </w:r>
      <w:r w:rsidR="00CA3BB5" w:rsidRPr="0046373D">
        <w:t xml:space="preserve">a </w:t>
      </w:r>
      <w:r w:rsidR="00792A95" w:rsidRPr="0046373D">
        <w:t>single loan guarante</w:t>
      </w:r>
      <w:r w:rsidR="00CA3BB5" w:rsidRPr="0046373D">
        <w:t>e</w:t>
      </w:r>
      <w:r w:rsidR="00792A95" w:rsidRPr="0046373D">
        <w:t xml:space="preserve"> for up to four housing units (e.g., four single family residences; two single family residences and one duplex; one single family residence and one triplex; or one fourplex).</w:t>
      </w:r>
    </w:p>
    <w:p w:rsidR="006D389D" w:rsidRDefault="006D389D" w:rsidP="006101F3">
      <w:pPr>
        <w:spacing w:after="0" w:line="240" w:lineRule="auto"/>
        <w:ind w:firstLine="720"/>
        <w:jc w:val="both"/>
      </w:pPr>
    </w:p>
    <w:p w:rsidR="004402C3" w:rsidRDefault="006D389D" w:rsidP="006101F3">
      <w:pPr>
        <w:spacing w:after="0" w:line="240" w:lineRule="auto"/>
        <w:ind w:firstLine="720"/>
        <w:jc w:val="both"/>
      </w:pPr>
      <w:r>
        <w:rPr>
          <w:b/>
          <w:u w:val="single"/>
        </w:rPr>
        <w:t>Jurisdiction</w:t>
      </w:r>
      <w:r>
        <w:rPr>
          <w:b/>
        </w:rPr>
        <w:t xml:space="preserve">.  </w:t>
      </w:r>
      <w:r>
        <w:t xml:space="preserve">Tribal entities have been advised by HUD that its attorneys, </w:t>
      </w:r>
      <w:r w:rsidR="00F308A0">
        <w:t xml:space="preserve">United States Attorneys (USAs) under the </w:t>
      </w:r>
      <w:r w:rsidR="00AC374A">
        <w:t xml:space="preserve">U.S. </w:t>
      </w:r>
      <w:r w:rsidR="00F308A0">
        <w:t>Department of Justice, have been refusing to prosecute foreclosure</w:t>
      </w:r>
      <w:r w:rsidR="00AC374A">
        <w:t>s</w:t>
      </w:r>
      <w:r w:rsidR="00F308A0">
        <w:t xml:space="preserve"> in tribal courts, instead forcing Indian borrowers to travel significant distances to attend foreclosure hearings in a foreign court.  When tribes were encouraged</w:t>
      </w:r>
      <w:r w:rsidR="004402C3">
        <w:t xml:space="preserve"> to adopt mortgage and foreclosure ordinances</w:t>
      </w:r>
      <w:r w:rsidR="00AC374A">
        <w:t>,</w:t>
      </w:r>
      <w:r w:rsidR="004402C3">
        <w:t xml:space="preserve"> they were </w:t>
      </w:r>
      <w:r w:rsidR="00AC374A">
        <w:t>encouraged</w:t>
      </w:r>
      <w:r w:rsidR="004402C3">
        <w:t xml:space="preserve"> to establish jurisdiction over foreclosures in the tribal courts.  The USAs</w:t>
      </w:r>
      <w:r w:rsidR="00AC374A">
        <w:t>’</w:t>
      </w:r>
      <w:r w:rsidR="004402C3">
        <w:t xml:space="preserve"> refusal to litigate in tribal court is an affront to the tribes and results in an erosion of their sovereignty.  </w:t>
      </w:r>
    </w:p>
    <w:p w:rsidR="004402C3" w:rsidRDefault="004402C3" w:rsidP="006101F3">
      <w:pPr>
        <w:spacing w:after="0" w:line="240" w:lineRule="auto"/>
        <w:ind w:firstLine="720"/>
        <w:jc w:val="both"/>
      </w:pPr>
    </w:p>
    <w:p w:rsidR="006D389D" w:rsidRPr="006D389D" w:rsidRDefault="004402C3" w:rsidP="006101F3">
      <w:pPr>
        <w:spacing w:after="0" w:line="240" w:lineRule="auto"/>
        <w:ind w:firstLine="720"/>
        <w:jc w:val="both"/>
      </w:pPr>
      <w:r>
        <w:t xml:space="preserve">While </w:t>
      </w:r>
      <w:r w:rsidR="00DC7F21">
        <w:t>[SHORT NAME]</w:t>
      </w:r>
      <w:r>
        <w:t xml:space="preserve"> understands that this may more properly require a legislative fix in the statutory framework of </w:t>
      </w:r>
      <w:r w:rsidR="00AC374A">
        <w:t xml:space="preserve">the Native American Housing Assistance and Self-Determination Act </w:t>
      </w:r>
      <w:r w:rsidR="004A090B">
        <w:t>(NAHASDA) or 12 USC §</w:t>
      </w:r>
      <w:r w:rsidR="004A090B" w:rsidRPr="0046373D">
        <w:t>1715z-13a</w:t>
      </w:r>
      <w:r>
        <w:t xml:space="preserve">, HUD could resolve the issue by promulgation of a regulations that, when </w:t>
      </w:r>
      <w:r w:rsidR="004A090B">
        <w:t>a</w:t>
      </w:r>
      <w:r>
        <w:t xml:space="preserve"> USA refuse</w:t>
      </w:r>
      <w:r w:rsidR="004A090B">
        <w:t>s</w:t>
      </w:r>
      <w:r>
        <w:t xml:space="preserve"> to </w:t>
      </w:r>
      <w:r w:rsidR="00B468C6">
        <w:t xml:space="preserve">appear in </w:t>
      </w:r>
      <w:r w:rsidR="004A090B">
        <w:t xml:space="preserve">a </w:t>
      </w:r>
      <w:r w:rsidR="00B468C6">
        <w:t xml:space="preserve">tribal court, allows HUD to contract with </w:t>
      </w:r>
      <w:r w:rsidR="004A090B">
        <w:t xml:space="preserve">a </w:t>
      </w:r>
      <w:r w:rsidR="00B468C6">
        <w:t>private attorney to litigate the matter.</w:t>
      </w:r>
      <w:r w:rsidR="00F308A0">
        <w:t xml:space="preserve"> </w:t>
      </w:r>
    </w:p>
    <w:p w:rsidR="002405F9" w:rsidRPr="0046373D" w:rsidRDefault="002405F9" w:rsidP="00650CE6">
      <w:pPr>
        <w:spacing w:after="0" w:line="240" w:lineRule="auto"/>
        <w:ind w:firstLine="720"/>
        <w:jc w:val="both"/>
      </w:pPr>
    </w:p>
    <w:p w:rsidR="001A2A15" w:rsidRPr="0046373D" w:rsidRDefault="00BB3F21" w:rsidP="00BB3F21">
      <w:pPr>
        <w:spacing w:after="0" w:line="240" w:lineRule="auto"/>
        <w:ind w:firstLine="720"/>
        <w:jc w:val="both"/>
      </w:pPr>
      <w:r w:rsidRPr="0046373D">
        <w:rPr>
          <w:b/>
          <w:u w:val="single"/>
        </w:rPr>
        <w:t>Negotiated Rulemakin</w:t>
      </w:r>
      <w:r w:rsidR="009A48F8" w:rsidRPr="0046373D">
        <w:rPr>
          <w:b/>
          <w:u w:val="single"/>
        </w:rPr>
        <w:t>g</w:t>
      </w:r>
      <w:r w:rsidRPr="0046373D">
        <w:rPr>
          <w:b/>
        </w:rPr>
        <w:t xml:space="preserve">.  </w:t>
      </w:r>
      <w:r w:rsidRPr="0046373D">
        <w:t xml:space="preserve">Section 1005.101 of the Section 184 regulations </w:t>
      </w:r>
      <w:r w:rsidR="001A2A15" w:rsidRPr="0046373D">
        <w:t>reveals how the Section 184 program and the NAHASDA are interrelated:</w:t>
      </w:r>
    </w:p>
    <w:p w:rsidR="001A2A15" w:rsidRPr="0046373D" w:rsidRDefault="001A2A15" w:rsidP="00BB3F21">
      <w:pPr>
        <w:spacing w:after="0" w:line="240" w:lineRule="auto"/>
        <w:ind w:firstLine="720"/>
        <w:jc w:val="both"/>
      </w:pPr>
    </w:p>
    <w:p w:rsidR="00BB3F21" w:rsidRPr="0046373D" w:rsidRDefault="001A2A15" w:rsidP="002557AF">
      <w:pPr>
        <w:spacing w:after="0" w:line="240" w:lineRule="auto"/>
        <w:ind w:left="720" w:right="720"/>
        <w:jc w:val="both"/>
      </w:pPr>
      <w:r w:rsidRPr="0046373D">
        <w:rPr>
          <w:rFonts w:cs="Arial"/>
          <w:color w:val="000000"/>
          <w:shd w:val="clear" w:color="auto" w:fill="FFFFFF"/>
        </w:rPr>
        <w:t>Under the provisions of section 184 of the Housing and Community Development Act of 1992, as amended by the Native American Housing Assistance and Self-Determination Act of 1996 (12 U.S.C. 1715z-13a), the Department of Housing and Urban Development (the Department or HUD) has the authority to guarantee loans for the construction, acquisition, or rehabilitation of 1- to 4-family homes that are standard housing located on</w:t>
      </w:r>
      <w:r w:rsidR="00B468C6">
        <w:rPr>
          <w:rFonts w:cs="Arial"/>
          <w:color w:val="000000"/>
          <w:shd w:val="clear" w:color="auto" w:fill="FFFFFF"/>
        </w:rPr>
        <w:t xml:space="preserve"> </w:t>
      </w:r>
      <w:r w:rsidRPr="0046373D">
        <w:rPr>
          <w:rFonts w:cs="Arial"/>
          <w:color w:val="000000"/>
          <w:shd w:val="clear" w:color="auto" w:fill="FFFFFF"/>
        </w:rPr>
        <w:t xml:space="preserve">trust or restricted land or land located in an Indian or Alaska Native area. </w:t>
      </w:r>
    </w:p>
    <w:p w:rsidR="00BB3F21" w:rsidRPr="0046373D" w:rsidRDefault="00BB3F21" w:rsidP="00BB3F21">
      <w:pPr>
        <w:spacing w:after="0" w:line="240" w:lineRule="auto"/>
        <w:ind w:firstLine="720"/>
        <w:jc w:val="both"/>
      </w:pPr>
    </w:p>
    <w:p w:rsidR="001A2A15" w:rsidRPr="0046373D" w:rsidRDefault="00BB3F21" w:rsidP="00BB3F21">
      <w:pPr>
        <w:spacing w:after="0" w:line="240" w:lineRule="auto"/>
        <w:ind w:firstLine="720"/>
        <w:jc w:val="both"/>
        <w:rPr>
          <w:rFonts w:eastAsiaTheme="minorEastAsia" w:cs="Times New Roman"/>
        </w:rPr>
      </w:pPr>
      <w:r w:rsidRPr="0046373D">
        <w:rPr>
          <w:rFonts w:eastAsiaTheme="minorEastAsia" w:cs="Times New Roman"/>
        </w:rPr>
        <w:t>Title 24 C.F.R. §</w:t>
      </w:r>
      <w:r w:rsidR="001A2A15" w:rsidRPr="0046373D">
        <w:rPr>
          <w:rFonts w:eastAsiaTheme="minorEastAsia" w:cs="Times New Roman"/>
        </w:rPr>
        <w:t>1005.101 is not a specific NAHASDA regulation, but, as this provision reflects, there is a direct relationship between the two</w:t>
      </w:r>
      <w:r w:rsidR="00640F5B" w:rsidRPr="0046373D">
        <w:rPr>
          <w:rFonts w:eastAsiaTheme="minorEastAsia" w:cs="Times New Roman"/>
        </w:rPr>
        <w:t xml:space="preserve"> which could cause the NAHASDA regulations to be amended as well</w:t>
      </w:r>
      <w:r w:rsidR="001A2A15" w:rsidRPr="0046373D">
        <w:rPr>
          <w:rFonts w:eastAsiaTheme="minorEastAsia" w:cs="Times New Roman"/>
        </w:rPr>
        <w:t xml:space="preserve">.  </w:t>
      </w:r>
      <w:r w:rsidRPr="0046373D">
        <w:rPr>
          <w:rFonts w:eastAsiaTheme="minorEastAsia" w:cs="Times New Roman"/>
        </w:rPr>
        <w:t>Title 25 U.S.C. §4116(b)(2)(A) requires that all regulations under NAHASDA, including any amendments to such regulations, shall be subject to negotiat</w:t>
      </w:r>
      <w:r w:rsidR="009A48F8" w:rsidRPr="0046373D">
        <w:rPr>
          <w:rFonts w:eastAsiaTheme="minorEastAsia" w:cs="Times New Roman"/>
        </w:rPr>
        <w:t>ed</w:t>
      </w:r>
      <w:r w:rsidRPr="0046373D">
        <w:rPr>
          <w:rFonts w:eastAsiaTheme="minorEastAsia" w:cs="Times New Roman"/>
        </w:rPr>
        <w:t xml:space="preserve"> rulemaking.  This necessitates that HUD </w:t>
      </w:r>
      <w:r w:rsidRPr="0046373D">
        <w:rPr>
          <w:rFonts w:eastAsiaTheme="minorEastAsia" w:cs="Times New Roman"/>
        </w:rPr>
        <w:lastRenderedPageBreak/>
        <w:t>appoint as committee members</w:t>
      </w:r>
      <w:r w:rsidR="009A48F8" w:rsidRPr="0046373D">
        <w:rPr>
          <w:rFonts w:eastAsiaTheme="minorEastAsia" w:cs="Times New Roman"/>
        </w:rPr>
        <w:t xml:space="preserve"> for such rulemaking</w:t>
      </w:r>
      <w:r w:rsidRPr="0046373D">
        <w:rPr>
          <w:rFonts w:eastAsiaTheme="minorEastAsia" w:cs="Times New Roman"/>
        </w:rPr>
        <w:t>, representatives of the federal government and representatives of diverse tribes and program recipients.</w:t>
      </w:r>
      <w:r w:rsidRPr="0046373D">
        <w:rPr>
          <w:rFonts w:eastAsiaTheme="minorEastAsia" w:cs="Times New Roman"/>
          <w:vertAlign w:val="superscript"/>
        </w:rPr>
        <w:footnoteReference w:id="1"/>
      </w:r>
      <w:r w:rsidRPr="0046373D">
        <w:rPr>
          <w:rFonts w:eastAsiaTheme="minorEastAsia" w:cs="Times New Roman"/>
        </w:rPr>
        <w:t xml:space="preserve">  </w:t>
      </w:r>
    </w:p>
    <w:p w:rsidR="001A2A15" w:rsidRPr="0046373D" w:rsidRDefault="001A2A15" w:rsidP="00BB3F21">
      <w:pPr>
        <w:spacing w:after="0" w:line="240" w:lineRule="auto"/>
        <w:ind w:firstLine="720"/>
        <w:jc w:val="both"/>
        <w:rPr>
          <w:rFonts w:eastAsiaTheme="minorEastAsia" w:cs="Times New Roman"/>
          <w:highlight w:val="yellow"/>
        </w:rPr>
      </w:pPr>
    </w:p>
    <w:p w:rsidR="00BB3F21" w:rsidRPr="0046373D" w:rsidRDefault="00DC7F21" w:rsidP="00640F5B">
      <w:pPr>
        <w:spacing w:after="0" w:line="240" w:lineRule="auto"/>
        <w:ind w:firstLine="720"/>
        <w:jc w:val="both"/>
        <w:rPr>
          <w:b/>
        </w:rPr>
      </w:pPr>
      <w:r>
        <w:rPr>
          <w:rFonts w:eastAsiaTheme="minorEastAsia" w:cs="Times New Roman"/>
        </w:rPr>
        <w:t>[SHORT NAME]</w:t>
      </w:r>
      <w:r w:rsidR="00BB3F21" w:rsidRPr="0046373D">
        <w:rPr>
          <w:rFonts w:eastAsiaTheme="minorEastAsia" w:cs="Times New Roman"/>
        </w:rPr>
        <w:t xml:space="preserve"> finds that a failure by HUD to use negotiated rulemaking to amend NAHASDA based on </w:t>
      </w:r>
      <w:r w:rsidR="00640F5B" w:rsidRPr="0046373D">
        <w:rPr>
          <w:rFonts w:eastAsiaTheme="minorEastAsia" w:cs="Times New Roman"/>
        </w:rPr>
        <w:t xml:space="preserve">proposed </w:t>
      </w:r>
      <w:r w:rsidR="006A0443" w:rsidRPr="0046373D">
        <w:rPr>
          <w:rFonts w:eastAsiaTheme="minorEastAsia" w:cs="Times New Roman"/>
        </w:rPr>
        <w:t xml:space="preserve">changes to the </w:t>
      </w:r>
      <w:r w:rsidR="00640F5B" w:rsidRPr="0046373D">
        <w:rPr>
          <w:rFonts w:eastAsiaTheme="minorEastAsia" w:cs="Times New Roman"/>
        </w:rPr>
        <w:t>Section 184 regulations</w:t>
      </w:r>
      <w:r w:rsidR="00BB3F21" w:rsidRPr="0046373D">
        <w:rPr>
          <w:rFonts w:eastAsiaTheme="minorEastAsia" w:cs="Times New Roman"/>
        </w:rPr>
        <w:t xml:space="preserve">, whose impact to </w:t>
      </w:r>
      <w:r w:rsidR="00640F5B" w:rsidRPr="0046373D">
        <w:rPr>
          <w:rFonts w:eastAsiaTheme="minorEastAsia" w:cs="Times New Roman"/>
        </w:rPr>
        <w:t xml:space="preserve">Tribal Housing Programs and Indian tribes </w:t>
      </w:r>
      <w:r w:rsidR="00BB3F21" w:rsidRPr="0046373D">
        <w:rPr>
          <w:rFonts w:eastAsiaTheme="minorEastAsia" w:cs="Times New Roman"/>
        </w:rPr>
        <w:t xml:space="preserve">that </w:t>
      </w:r>
      <w:r>
        <w:rPr>
          <w:rFonts w:eastAsiaTheme="minorEastAsia" w:cs="Times New Roman"/>
        </w:rPr>
        <w:t>[SHORT NAME]</w:t>
      </w:r>
      <w:r w:rsidR="00BB3F21" w:rsidRPr="0046373D">
        <w:rPr>
          <w:rFonts w:eastAsiaTheme="minorEastAsia" w:cs="Times New Roman"/>
        </w:rPr>
        <w:t xml:space="preserve"> considers significant, would be in violation of federal law.  </w:t>
      </w:r>
      <w:r w:rsidR="00640F5B" w:rsidRPr="0046373D">
        <w:rPr>
          <w:rFonts w:eastAsiaTheme="minorEastAsia" w:cs="Times New Roman"/>
        </w:rPr>
        <w:t xml:space="preserve">As such, </w:t>
      </w:r>
      <w:r>
        <w:rPr>
          <w:rFonts w:eastAsiaTheme="minorEastAsia" w:cs="Times New Roman"/>
        </w:rPr>
        <w:t>[SHORT NAME]</w:t>
      </w:r>
      <w:r w:rsidR="00640F5B" w:rsidRPr="0046373D">
        <w:rPr>
          <w:rFonts w:eastAsiaTheme="minorEastAsia" w:cs="Times New Roman"/>
        </w:rPr>
        <w:t xml:space="preserve"> strongly recommends that HUD establish negotiated rulemaking for purposes of making necessary changes to </w:t>
      </w:r>
      <w:r w:rsidR="006A0443" w:rsidRPr="0046373D">
        <w:rPr>
          <w:rFonts w:eastAsiaTheme="minorEastAsia" w:cs="Times New Roman"/>
        </w:rPr>
        <w:t xml:space="preserve">the </w:t>
      </w:r>
      <w:r w:rsidR="00640F5B" w:rsidRPr="0046373D">
        <w:rPr>
          <w:rFonts w:eastAsiaTheme="minorEastAsia" w:cs="Times New Roman"/>
        </w:rPr>
        <w:t xml:space="preserve">Section 184 and NAHASDA regulations.    </w:t>
      </w:r>
    </w:p>
    <w:p w:rsidR="00903FE1" w:rsidRPr="0046373D" w:rsidRDefault="00903FE1" w:rsidP="00650CE6">
      <w:pPr>
        <w:spacing w:after="0" w:line="240" w:lineRule="auto"/>
        <w:ind w:firstLine="720"/>
        <w:jc w:val="both"/>
      </w:pPr>
    </w:p>
    <w:p w:rsidR="00F21488" w:rsidRPr="0046373D" w:rsidRDefault="001C4755" w:rsidP="008549E7">
      <w:pPr>
        <w:spacing w:after="0" w:line="240" w:lineRule="auto"/>
        <w:ind w:firstLine="720"/>
        <w:jc w:val="both"/>
        <w:rPr>
          <w:rFonts w:cs="Calibri"/>
          <w:bCs/>
        </w:rPr>
      </w:pPr>
      <w:r w:rsidRPr="0046373D">
        <w:rPr>
          <w:rFonts w:cs="Calibri"/>
          <w:b/>
          <w:bCs/>
          <w:u w:val="single"/>
        </w:rPr>
        <w:t>Consultation</w:t>
      </w:r>
      <w:r w:rsidR="00F21488" w:rsidRPr="0046373D">
        <w:rPr>
          <w:rFonts w:cs="Calibri"/>
          <w:b/>
          <w:bCs/>
        </w:rPr>
        <w:t xml:space="preserve">.  </w:t>
      </w:r>
      <w:r w:rsidR="00F21488" w:rsidRPr="0046373D">
        <w:rPr>
          <w:rFonts w:cs="Calibri"/>
          <w:bCs/>
        </w:rPr>
        <w:t xml:space="preserve">The overall approach by HUD </w:t>
      </w:r>
      <w:r w:rsidR="00D153D6" w:rsidRPr="0046373D">
        <w:rPr>
          <w:rFonts w:cs="Calibri"/>
          <w:bCs/>
        </w:rPr>
        <w:t xml:space="preserve">reaching out to Indian tribes </w:t>
      </w:r>
      <w:r w:rsidR="00F21488" w:rsidRPr="0046373D">
        <w:rPr>
          <w:rFonts w:cs="Calibri"/>
          <w:bCs/>
        </w:rPr>
        <w:t xml:space="preserve">regarding proposed changes to </w:t>
      </w:r>
      <w:r w:rsidR="00C05ACF" w:rsidRPr="0046373D">
        <w:rPr>
          <w:rFonts w:cs="Calibri"/>
          <w:bCs/>
        </w:rPr>
        <w:t>the</w:t>
      </w:r>
      <w:r w:rsidR="00F21488" w:rsidRPr="0046373D">
        <w:rPr>
          <w:rFonts w:cs="Calibri"/>
          <w:bCs/>
        </w:rPr>
        <w:t xml:space="preserve"> Section 184 regulations has been anything but meaningful government-to-government consultation </w:t>
      </w:r>
      <w:r w:rsidR="00302396" w:rsidRPr="0046373D">
        <w:rPr>
          <w:rFonts w:cs="Calibri"/>
          <w:bCs/>
        </w:rPr>
        <w:t xml:space="preserve">between HUD </w:t>
      </w:r>
      <w:r w:rsidR="00D153D6" w:rsidRPr="0046373D">
        <w:rPr>
          <w:rFonts w:cs="Calibri"/>
          <w:bCs/>
        </w:rPr>
        <w:t>and such tribes potential</w:t>
      </w:r>
      <w:r w:rsidR="00E6571D" w:rsidRPr="0046373D">
        <w:rPr>
          <w:rFonts w:cs="Calibri"/>
          <w:bCs/>
        </w:rPr>
        <w:t>ly</w:t>
      </w:r>
      <w:r w:rsidR="00D153D6" w:rsidRPr="0046373D">
        <w:rPr>
          <w:rFonts w:cs="Calibri"/>
          <w:bCs/>
        </w:rPr>
        <w:t xml:space="preserve"> </w:t>
      </w:r>
      <w:r w:rsidR="00302396" w:rsidRPr="0046373D">
        <w:rPr>
          <w:rFonts w:cs="Calibri"/>
          <w:bCs/>
        </w:rPr>
        <w:t xml:space="preserve">impacted by </w:t>
      </w:r>
      <w:r w:rsidR="00D153D6" w:rsidRPr="0046373D">
        <w:rPr>
          <w:rFonts w:cs="Calibri"/>
          <w:bCs/>
        </w:rPr>
        <w:t xml:space="preserve">these </w:t>
      </w:r>
      <w:r w:rsidR="00302396" w:rsidRPr="0046373D">
        <w:rPr>
          <w:rFonts w:cs="Calibri"/>
          <w:bCs/>
        </w:rPr>
        <w:t>changes</w:t>
      </w:r>
      <w:r w:rsidR="008549E7" w:rsidRPr="0046373D">
        <w:rPr>
          <w:rFonts w:cs="Calibri"/>
          <w:bCs/>
        </w:rPr>
        <w:t xml:space="preserve">, the type of consultation to be conducted pursuant to Executive Order (EO) 13175, </w:t>
      </w:r>
      <w:r w:rsidR="008549E7" w:rsidRPr="0046373D">
        <w:rPr>
          <w:rFonts w:eastAsiaTheme="minorEastAsia" w:cs="Arial"/>
          <w:u w:val="single"/>
        </w:rPr>
        <w:t>Consultation and Coordination with Indian Tribal Governments</w:t>
      </w:r>
      <w:r w:rsidR="00302396" w:rsidRPr="0046373D">
        <w:rPr>
          <w:rFonts w:cs="Calibri"/>
          <w:bCs/>
        </w:rPr>
        <w:t xml:space="preserve">.  </w:t>
      </w:r>
    </w:p>
    <w:p w:rsidR="00F21488" w:rsidRPr="0046373D" w:rsidRDefault="00F21488" w:rsidP="00650CE6">
      <w:pPr>
        <w:spacing w:after="0" w:line="240" w:lineRule="auto"/>
        <w:ind w:firstLine="720"/>
        <w:jc w:val="both"/>
        <w:rPr>
          <w:rFonts w:cs="Calibri"/>
          <w:bCs/>
        </w:rPr>
      </w:pPr>
    </w:p>
    <w:p w:rsidR="00F21488" w:rsidRPr="0046373D" w:rsidRDefault="00F21488" w:rsidP="00F21488">
      <w:pPr>
        <w:widowControl w:val="0"/>
        <w:autoSpaceDE w:val="0"/>
        <w:autoSpaceDN w:val="0"/>
        <w:adjustRightInd w:val="0"/>
        <w:spacing w:after="0" w:line="240" w:lineRule="auto"/>
        <w:ind w:firstLine="720"/>
        <w:jc w:val="both"/>
        <w:rPr>
          <w:rFonts w:eastAsiaTheme="minorEastAsia" w:cs="Times New Roman"/>
        </w:rPr>
      </w:pPr>
      <w:r w:rsidRPr="0046373D">
        <w:rPr>
          <w:rFonts w:eastAsiaTheme="minorEastAsia" w:cs="Times New Roman"/>
        </w:rPr>
        <w:t xml:space="preserve">A unique government-to-government relationship exists between Indian tribes and the federal government.  This relationship is grounded in the U.S. Constitution, numerous treaties, statutes, federal case law, regulations, and executive orders.  Consultation is a core element of this government-to-government relationship.  </w:t>
      </w:r>
      <w:r w:rsidRPr="0046373D">
        <w:rPr>
          <w:rFonts w:eastAsiaTheme="minorEastAsia" w:cs="Calibri"/>
        </w:rPr>
        <w:t xml:space="preserve">A central tenet of EO 13175 is the need for federal agencies to engage in meaningful government-to-government consultation with Indian tribes if any of the federal agencies’ policy actions could have impacts to tribal communities.  The result of meaningful government-to-government consultation should be that substantive tribal input has been considered and incorporated into any actions having tribal implications.  To be meaningful, and in the spirit of EO 13175, consultation by HUD with tribes regarding </w:t>
      </w:r>
      <w:r w:rsidR="002803A1" w:rsidRPr="0046373D">
        <w:rPr>
          <w:rFonts w:eastAsiaTheme="minorEastAsia" w:cs="Calibri"/>
        </w:rPr>
        <w:t xml:space="preserve">proposed changes to the </w:t>
      </w:r>
      <w:r w:rsidRPr="0046373D">
        <w:rPr>
          <w:rFonts w:eastAsiaTheme="minorEastAsia" w:cs="Calibri"/>
        </w:rPr>
        <w:t xml:space="preserve">Section 184 regulations should meet the following expectations:   </w:t>
      </w:r>
    </w:p>
    <w:p w:rsidR="00F21488" w:rsidRPr="0046373D" w:rsidRDefault="00F21488" w:rsidP="00F21488">
      <w:pPr>
        <w:widowControl w:val="0"/>
        <w:autoSpaceDE w:val="0"/>
        <w:autoSpaceDN w:val="0"/>
        <w:adjustRightInd w:val="0"/>
        <w:spacing w:after="0" w:line="240" w:lineRule="auto"/>
        <w:ind w:firstLine="547"/>
        <w:contextualSpacing/>
        <w:jc w:val="both"/>
        <w:rPr>
          <w:rFonts w:eastAsiaTheme="minorEastAsia" w:cs="Calibri"/>
        </w:rPr>
      </w:pPr>
    </w:p>
    <w:p w:rsidR="00F21488" w:rsidRPr="0046373D" w:rsidRDefault="00F21488" w:rsidP="00F21488">
      <w:pPr>
        <w:widowControl w:val="0"/>
        <w:numPr>
          <w:ilvl w:val="0"/>
          <w:numId w:val="4"/>
        </w:numPr>
        <w:autoSpaceDE w:val="0"/>
        <w:autoSpaceDN w:val="0"/>
        <w:adjustRightInd w:val="0"/>
        <w:spacing w:after="0" w:line="240" w:lineRule="auto"/>
        <w:ind w:left="1440" w:hanging="720"/>
        <w:contextualSpacing/>
        <w:jc w:val="both"/>
        <w:rPr>
          <w:rFonts w:eastAsiaTheme="minorEastAsia" w:cs="Calibri"/>
        </w:rPr>
      </w:pPr>
      <w:r w:rsidRPr="0046373D">
        <w:rPr>
          <w:rFonts w:eastAsiaTheme="minorEastAsia" w:cs="Times New Roman"/>
          <w:lang w:val="en-CA"/>
        </w:rPr>
        <w:fldChar w:fldCharType="begin"/>
      </w:r>
      <w:r w:rsidRPr="0046373D">
        <w:rPr>
          <w:rFonts w:eastAsiaTheme="minorEastAsia" w:cs="Times New Roman"/>
          <w:lang w:val="en-CA"/>
        </w:rPr>
        <w:instrText xml:space="preserve"> SEQ CHAPTER \h \r 1</w:instrText>
      </w:r>
      <w:r w:rsidRPr="0046373D">
        <w:rPr>
          <w:rFonts w:eastAsiaTheme="minorEastAsia" w:cs="Times New Roman"/>
          <w:lang w:val="en-CA"/>
        </w:rPr>
        <w:fldChar w:fldCharType="end"/>
      </w:r>
      <w:r w:rsidRPr="0046373D">
        <w:rPr>
          <w:rFonts w:eastAsiaTheme="minorEastAsia" w:cs="Calibri"/>
        </w:rPr>
        <w:t>Provide clear guidance on how HUD intends to assure that government-to-government consultation with tribes will result in meaningful dialogue rather than simply pro forma consultation.</w:t>
      </w:r>
    </w:p>
    <w:p w:rsidR="004F2931" w:rsidRPr="0046373D" w:rsidRDefault="004F2931" w:rsidP="004F2931">
      <w:pPr>
        <w:widowControl w:val="0"/>
        <w:autoSpaceDE w:val="0"/>
        <w:autoSpaceDN w:val="0"/>
        <w:adjustRightInd w:val="0"/>
        <w:spacing w:after="0" w:line="240" w:lineRule="auto"/>
        <w:ind w:left="1440"/>
        <w:contextualSpacing/>
        <w:jc w:val="both"/>
        <w:rPr>
          <w:rFonts w:eastAsiaTheme="minorEastAsia" w:cs="Calibri"/>
        </w:rPr>
      </w:pPr>
    </w:p>
    <w:p w:rsidR="004F2931" w:rsidRPr="0046373D" w:rsidRDefault="004F2931" w:rsidP="004F2931">
      <w:pPr>
        <w:widowControl w:val="0"/>
        <w:autoSpaceDE w:val="0"/>
        <w:autoSpaceDN w:val="0"/>
        <w:adjustRightInd w:val="0"/>
        <w:spacing w:after="0" w:line="240" w:lineRule="auto"/>
        <w:ind w:left="2160"/>
        <w:contextualSpacing/>
        <w:jc w:val="both"/>
        <w:rPr>
          <w:rFonts w:cs="Calibri"/>
        </w:rPr>
      </w:pPr>
      <w:r w:rsidRPr="0046373D">
        <w:rPr>
          <w:rFonts w:cs="Calibri"/>
        </w:rPr>
        <w:t xml:space="preserve">HUD has failed to provide any assurances to Indian tribes about how it will engage in meaningful government-to-government consultation regarding </w:t>
      </w:r>
      <w:r w:rsidR="00C05ACF" w:rsidRPr="0046373D">
        <w:rPr>
          <w:rFonts w:cs="Calibri"/>
        </w:rPr>
        <w:t xml:space="preserve">proposed changes to </w:t>
      </w:r>
      <w:r w:rsidRPr="0046373D">
        <w:rPr>
          <w:rFonts w:cs="Calibri"/>
        </w:rPr>
        <w:t xml:space="preserve">the Section 184 regulations, other than holding several listening sessions with tribal representatives, and few, if any, tribal leaders authorized by their tribes to engage in consultation with HUD regarding the proposed </w:t>
      </w:r>
      <w:r w:rsidR="00F80BA7" w:rsidRPr="0046373D">
        <w:rPr>
          <w:rFonts w:cs="Calibri"/>
        </w:rPr>
        <w:t>changes</w:t>
      </w:r>
      <w:r w:rsidRPr="0046373D">
        <w:rPr>
          <w:rFonts w:cs="Calibri"/>
        </w:rPr>
        <w:t>.  Further, there are 573 federally recognized tribes with the majority of such tribes unable to participate in these listening sessions.</w:t>
      </w:r>
    </w:p>
    <w:p w:rsidR="00F21488" w:rsidRPr="0046373D" w:rsidRDefault="00F21488" w:rsidP="00F21488">
      <w:pPr>
        <w:widowControl w:val="0"/>
        <w:autoSpaceDE w:val="0"/>
        <w:autoSpaceDN w:val="0"/>
        <w:adjustRightInd w:val="0"/>
        <w:spacing w:after="0" w:line="240" w:lineRule="auto"/>
        <w:ind w:left="1440"/>
        <w:contextualSpacing/>
        <w:jc w:val="both"/>
        <w:rPr>
          <w:rFonts w:eastAsiaTheme="minorEastAsia" w:cs="Calibri"/>
          <w:highlight w:val="yellow"/>
        </w:rPr>
      </w:pPr>
    </w:p>
    <w:p w:rsidR="00F21488" w:rsidRPr="0046373D" w:rsidRDefault="00F21488" w:rsidP="00F21488">
      <w:pPr>
        <w:widowControl w:val="0"/>
        <w:numPr>
          <w:ilvl w:val="0"/>
          <w:numId w:val="4"/>
        </w:numPr>
        <w:autoSpaceDE w:val="0"/>
        <w:autoSpaceDN w:val="0"/>
        <w:adjustRightInd w:val="0"/>
        <w:spacing w:after="0" w:line="240" w:lineRule="auto"/>
        <w:ind w:left="1440" w:hanging="720"/>
        <w:contextualSpacing/>
        <w:jc w:val="both"/>
        <w:rPr>
          <w:rFonts w:eastAsiaTheme="minorEastAsia" w:cs="Calibri"/>
        </w:rPr>
      </w:pPr>
      <w:r w:rsidRPr="0046373D">
        <w:rPr>
          <w:rFonts w:eastAsiaTheme="minorEastAsia" w:cs="Calibri"/>
        </w:rPr>
        <w:t xml:space="preserve">Assign to the proposed </w:t>
      </w:r>
      <w:r w:rsidR="00C05ACF" w:rsidRPr="0046373D">
        <w:rPr>
          <w:rFonts w:eastAsiaTheme="minorEastAsia" w:cs="Calibri"/>
        </w:rPr>
        <w:t xml:space="preserve">changes to the </w:t>
      </w:r>
      <w:r w:rsidRPr="0046373D">
        <w:rPr>
          <w:rFonts w:eastAsiaTheme="minorEastAsia" w:cs="Calibri"/>
        </w:rPr>
        <w:t>Section 184 regulations a tribal liaison who has worked extensively with tribes on similar issues.</w:t>
      </w:r>
    </w:p>
    <w:p w:rsidR="004F2931" w:rsidRPr="0046373D" w:rsidRDefault="004F2931" w:rsidP="004F2931">
      <w:pPr>
        <w:widowControl w:val="0"/>
        <w:autoSpaceDE w:val="0"/>
        <w:autoSpaceDN w:val="0"/>
        <w:adjustRightInd w:val="0"/>
        <w:spacing w:after="0" w:line="240" w:lineRule="auto"/>
        <w:contextualSpacing/>
        <w:jc w:val="both"/>
        <w:rPr>
          <w:rFonts w:eastAsiaTheme="minorEastAsia" w:cs="Calibri"/>
        </w:rPr>
      </w:pPr>
    </w:p>
    <w:p w:rsidR="004F2931" w:rsidRPr="0046373D" w:rsidRDefault="004F2931" w:rsidP="004F2931">
      <w:pPr>
        <w:widowControl w:val="0"/>
        <w:autoSpaceDE w:val="0"/>
        <w:autoSpaceDN w:val="0"/>
        <w:adjustRightInd w:val="0"/>
        <w:spacing w:after="0" w:line="240" w:lineRule="auto"/>
        <w:ind w:left="2160"/>
        <w:contextualSpacing/>
        <w:jc w:val="both"/>
        <w:rPr>
          <w:rFonts w:cs="Calibri"/>
        </w:rPr>
      </w:pPr>
      <w:r w:rsidRPr="0046373D">
        <w:rPr>
          <w:rFonts w:cs="Calibri"/>
        </w:rPr>
        <w:t xml:space="preserve">Neither </w:t>
      </w:r>
      <w:r w:rsidR="00DC7F21">
        <w:rPr>
          <w:rFonts w:cs="Calibri"/>
        </w:rPr>
        <w:t>[SHORT NAME]</w:t>
      </w:r>
      <w:r w:rsidRPr="0046373D">
        <w:rPr>
          <w:rFonts w:cs="Calibri"/>
        </w:rPr>
        <w:t xml:space="preserve"> nor </w:t>
      </w:r>
      <w:r w:rsidR="003F3EC1">
        <w:rPr>
          <w:rFonts w:cs="Calibri"/>
          <w:b/>
        </w:rPr>
        <w:t xml:space="preserve">[TRIBAL][PUEBLO] </w:t>
      </w:r>
      <w:r w:rsidRPr="0046373D">
        <w:rPr>
          <w:rFonts w:cs="Calibri"/>
        </w:rPr>
        <w:t xml:space="preserve">leadership is aware of any tribal liaison having been assigned by HUD </w:t>
      </w:r>
      <w:r w:rsidR="00C05ACF" w:rsidRPr="0046373D">
        <w:rPr>
          <w:rFonts w:cs="Calibri"/>
        </w:rPr>
        <w:t xml:space="preserve">regarding proposed changes to the </w:t>
      </w:r>
      <w:r w:rsidRPr="0046373D">
        <w:rPr>
          <w:rFonts w:cs="Calibri"/>
        </w:rPr>
        <w:t>Section 184 regulations nor has anyone held himself or herself out to this effect.</w:t>
      </w:r>
    </w:p>
    <w:p w:rsidR="004F2931" w:rsidRPr="0046373D" w:rsidRDefault="004F2931" w:rsidP="004F2931">
      <w:pPr>
        <w:widowControl w:val="0"/>
        <w:autoSpaceDE w:val="0"/>
        <w:autoSpaceDN w:val="0"/>
        <w:adjustRightInd w:val="0"/>
        <w:spacing w:after="0" w:line="240" w:lineRule="auto"/>
        <w:contextualSpacing/>
        <w:jc w:val="both"/>
        <w:rPr>
          <w:rFonts w:eastAsiaTheme="minorEastAsia" w:cs="Calibri"/>
        </w:rPr>
      </w:pPr>
    </w:p>
    <w:p w:rsidR="00F21488" w:rsidRPr="0046373D" w:rsidRDefault="00F21488" w:rsidP="00F21488">
      <w:pPr>
        <w:widowControl w:val="0"/>
        <w:numPr>
          <w:ilvl w:val="0"/>
          <w:numId w:val="4"/>
        </w:numPr>
        <w:autoSpaceDE w:val="0"/>
        <w:autoSpaceDN w:val="0"/>
        <w:adjustRightInd w:val="0"/>
        <w:spacing w:after="0" w:line="240" w:lineRule="auto"/>
        <w:ind w:left="1440" w:hanging="720"/>
        <w:contextualSpacing/>
        <w:jc w:val="both"/>
        <w:rPr>
          <w:rFonts w:eastAsiaTheme="minorEastAsia" w:cs="Calibri"/>
        </w:rPr>
      </w:pPr>
      <w:r w:rsidRPr="0046373D">
        <w:rPr>
          <w:rFonts w:eastAsiaTheme="minorEastAsia" w:cs="Calibri"/>
        </w:rPr>
        <w:t xml:space="preserve">Send a formal letter to tribal chairpersons with copies provided to appropriate tribal staff </w:t>
      </w:r>
      <w:r w:rsidRPr="0046373D">
        <w:rPr>
          <w:rFonts w:eastAsiaTheme="minorEastAsia" w:cs="Calibri"/>
        </w:rPr>
        <w:lastRenderedPageBreak/>
        <w:t>(</w:t>
      </w:r>
      <w:r w:rsidRPr="0046373D">
        <w:rPr>
          <w:rFonts w:eastAsiaTheme="minorEastAsia" w:cs="Calibri"/>
          <w:i/>
          <w:iCs/>
        </w:rPr>
        <w:t xml:space="preserve">e.g., </w:t>
      </w:r>
      <w:r w:rsidRPr="0046373D">
        <w:rPr>
          <w:rFonts w:eastAsiaTheme="minorEastAsia" w:cs="Calibri"/>
        </w:rPr>
        <w:t xml:space="preserve">tribal administrator, tribal directors and managers) that asks tribes how they would like to be consulted regarding </w:t>
      </w:r>
      <w:r w:rsidR="00F80BA7" w:rsidRPr="0046373D">
        <w:rPr>
          <w:rFonts w:eastAsiaTheme="minorEastAsia" w:cs="Calibri"/>
        </w:rPr>
        <w:t xml:space="preserve">proposed changes to the Section 184 </w:t>
      </w:r>
      <w:r w:rsidRPr="0046373D">
        <w:rPr>
          <w:rFonts w:eastAsiaTheme="minorEastAsia" w:cs="Calibri"/>
        </w:rPr>
        <w:t>regulations, and a request for the names and addresses of other persons who should be notified or consulted.</w:t>
      </w:r>
    </w:p>
    <w:p w:rsidR="00F21488" w:rsidRPr="0046373D" w:rsidRDefault="00F21488" w:rsidP="00F21488">
      <w:pPr>
        <w:widowControl w:val="0"/>
        <w:autoSpaceDE w:val="0"/>
        <w:autoSpaceDN w:val="0"/>
        <w:adjustRightInd w:val="0"/>
        <w:spacing w:after="0" w:line="240" w:lineRule="auto"/>
        <w:ind w:left="1440"/>
        <w:contextualSpacing/>
        <w:jc w:val="both"/>
        <w:rPr>
          <w:rFonts w:eastAsiaTheme="minorEastAsia" w:cs="Calibri"/>
          <w:highlight w:val="yellow"/>
        </w:rPr>
      </w:pPr>
    </w:p>
    <w:p w:rsidR="00163E02" w:rsidRPr="0046373D" w:rsidRDefault="00163E02" w:rsidP="00163E02">
      <w:pPr>
        <w:widowControl w:val="0"/>
        <w:autoSpaceDE w:val="0"/>
        <w:autoSpaceDN w:val="0"/>
        <w:adjustRightInd w:val="0"/>
        <w:spacing w:after="0" w:line="240" w:lineRule="auto"/>
        <w:ind w:left="2160"/>
        <w:contextualSpacing/>
        <w:jc w:val="both"/>
        <w:rPr>
          <w:rFonts w:cs="Calibri"/>
        </w:rPr>
      </w:pPr>
      <w:r w:rsidRPr="0046373D">
        <w:rPr>
          <w:rFonts w:cs="Calibri"/>
        </w:rPr>
        <w:t xml:space="preserve">HUD has failed to send a formal letter to </w:t>
      </w:r>
      <w:r w:rsidR="003F3EC1">
        <w:rPr>
          <w:rFonts w:cs="Calibri"/>
          <w:b/>
        </w:rPr>
        <w:t>[TRIBAL][PUEBLO]</w:t>
      </w:r>
      <w:r w:rsidRPr="0046373D">
        <w:rPr>
          <w:rFonts w:cs="Calibri"/>
        </w:rPr>
        <w:t xml:space="preserve"> leadership or staff that asks the </w:t>
      </w:r>
      <w:r w:rsidR="003F3EC1">
        <w:rPr>
          <w:rFonts w:cs="Calibri"/>
          <w:b/>
        </w:rPr>
        <w:t>[TRIBE][PUEBLO]</w:t>
      </w:r>
      <w:r w:rsidRPr="0046373D">
        <w:rPr>
          <w:rFonts w:cs="Calibri"/>
        </w:rPr>
        <w:t xml:space="preserve"> about how it would like to be consulted regarding proposed changes to the Section 184 regulations.  The only letter sent to </w:t>
      </w:r>
      <w:r w:rsidR="003F3EC1">
        <w:rPr>
          <w:rFonts w:cs="Calibri"/>
          <w:b/>
        </w:rPr>
        <w:t>[TRIBAL][PUEBLO]</w:t>
      </w:r>
      <w:r w:rsidRPr="0046373D">
        <w:rPr>
          <w:rFonts w:cs="Calibri"/>
        </w:rPr>
        <w:t xml:space="preserve"> leadership informed it about several listening </w:t>
      </w:r>
      <w:proofErr w:type="gramStart"/>
      <w:r w:rsidRPr="0046373D">
        <w:rPr>
          <w:rFonts w:cs="Calibri"/>
        </w:rPr>
        <w:t>sessions, and</w:t>
      </w:r>
      <w:proofErr w:type="gramEnd"/>
      <w:r w:rsidRPr="0046373D">
        <w:rPr>
          <w:rFonts w:cs="Calibri"/>
        </w:rPr>
        <w:t xml:space="preserve"> invited </w:t>
      </w:r>
      <w:r w:rsidR="003F3EC1">
        <w:rPr>
          <w:rFonts w:cs="Calibri"/>
          <w:b/>
        </w:rPr>
        <w:t xml:space="preserve">[TRIBAL][PUEBLO] </w:t>
      </w:r>
      <w:r w:rsidRPr="0046373D">
        <w:rPr>
          <w:rFonts w:cs="Calibri"/>
        </w:rPr>
        <w:t>leaderships to submit comments regarding such changes.  Neither the listening sessions nor the invitation to submit comments qualifies as meaningful government-to-government consultation.</w:t>
      </w:r>
    </w:p>
    <w:p w:rsidR="00163E02" w:rsidRPr="0046373D" w:rsidRDefault="00163E02" w:rsidP="00F21488">
      <w:pPr>
        <w:widowControl w:val="0"/>
        <w:autoSpaceDE w:val="0"/>
        <w:autoSpaceDN w:val="0"/>
        <w:adjustRightInd w:val="0"/>
        <w:spacing w:after="0" w:line="240" w:lineRule="auto"/>
        <w:ind w:left="1440"/>
        <w:contextualSpacing/>
        <w:jc w:val="both"/>
        <w:rPr>
          <w:rFonts w:eastAsiaTheme="minorEastAsia" w:cs="Calibri"/>
          <w:highlight w:val="yellow"/>
        </w:rPr>
      </w:pPr>
    </w:p>
    <w:p w:rsidR="00F21488" w:rsidRPr="0046373D" w:rsidRDefault="00F21488" w:rsidP="00F21488">
      <w:pPr>
        <w:widowControl w:val="0"/>
        <w:numPr>
          <w:ilvl w:val="0"/>
          <w:numId w:val="4"/>
        </w:numPr>
        <w:autoSpaceDE w:val="0"/>
        <w:autoSpaceDN w:val="0"/>
        <w:adjustRightInd w:val="0"/>
        <w:spacing w:after="0" w:line="240" w:lineRule="auto"/>
        <w:ind w:left="1440" w:hanging="720"/>
        <w:contextualSpacing/>
        <w:jc w:val="both"/>
        <w:rPr>
          <w:rFonts w:eastAsiaTheme="minorEastAsia" w:cs="Calibri"/>
        </w:rPr>
      </w:pPr>
      <w:r w:rsidRPr="0046373D">
        <w:rPr>
          <w:rFonts w:eastAsiaTheme="minorEastAsia" w:cs="Calibri"/>
        </w:rPr>
        <w:t xml:space="preserve">Provide assurances to tribes that the most senior-level HUD official will be engaged in </w:t>
      </w:r>
      <w:r w:rsidR="00F80BA7" w:rsidRPr="0046373D">
        <w:rPr>
          <w:rFonts w:eastAsiaTheme="minorEastAsia" w:cs="Calibri"/>
        </w:rPr>
        <w:t xml:space="preserve">meaningful </w:t>
      </w:r>
      <w:r w:rsidRPr="0046373D">
        <w:rPr>
          <w:rFonts w:eastAsiaTheme="minorEastAsia" w:cs="Calibri"/>
        </w:rPr>
        <w:t xml:space="preserve">government-to-government consultation regarding </w:t>
      </w:r>
      <w:r w:rsidR="00F80BA7" w:rsidRPr="0046373D">
        <w:rPr>
          <w:rFonts w:eastAsiaTheme="minorEastAsia" w:cs="Calibri"/>
        </w:rPr>
        <w:t xml:space="preserve">proposed changes to </w:t>
      </w:r>
      <w:r w:rsidRPr="0046373D">
        <w:rPr>
          <w:rFonts w:eastAsiaTheme="minorEastAsia" w:cs="Calibri"/>
        </w:rPr>
        <w:t xml:space="preserve">the </w:t>
      </w:r>
      <w:r w:rsidR="00F80BA7" w:rsidRPr="0046373D">
        <w:rPr>
          <w:rFonts w:eastAsiaTheme="minorEastAsia" w:cs="Calibri"/>
        </w:rPr>
        <w:t>S</w:t>
      </w:r>
      <w:r w:rsidRPr="0046373D">
        <w:rPr>
          <w:rFonts w:eastAsiaTheme="minorEastAsia" w:cs="Calibri"/>
        </w:rPr>
        <w:t>ection 184 regulations since tribes will likely be represented by its highest-level officials such as tribal chairpersons and/or council members.</w:t>
      </w:r>
    </w:p>
    <w:p w:rsidR="00765133" w:rsidRPr="0046373D" w:rsidRDefault="00765133" w:rsidP="00765133">
      <w:pPr>
        <w:widowControl w:val="0"/>
        <w:autoSpaceDE w:val="0"/>
        <w:autoSpaceDN w:val="0"/>
        <w:adjustRightInd w:val="0"/>
        <w:spacing w:after="0" w:line="240" w:lineRule="auto"/>
        <w:ind w:left="1440"/>
        <w:contextualSpacing/>
        <w:jc w:val="both"/>
        <w:rPr>
          <w:rFonts w:eastAsiaTheme="minorEastAsia" w:cs="Calibri"/>
          <w:highlight w:val="yellow"/>
        </w:rPr>
      </w:pPr>
    </w:p>
    <w:p w:rsidR="00BB75FD" w:rsidRPr="0046373D" w:rsidRDefault="00BB75FD" w:rsidP="00BB75FD">
      <w:pPr>
        <w:widowControl w:val="0"/>
        <w:autoSpaceDE w:val="0"/>
        <w:autoSpaceDN w:val="0"/>
        <w:adjustRightInd w:val="0"/>
        <w:spacing w:after="0" w:line="240" w:lineRule="auto"/>
        <w:ind w:left="2160"/>
        <w:contextualSpacing/>
        <w:jc w:val="both"/>
        <w:rPr>
          <w:rFonts w:cs="Calibri"/>
        </w:rPr>
      </w:pPr>
      <w:r w:rsidRPr="0046373D">
        <w:rPr>
          <w:rFonts w:cs="Calibri"/>
        </w:rPr>
        <w:t>HUD has not clearly indicated whether you, as Deputy Assistant Secretary for the Office of Native American Programs, or another senior-level HUD official</w:t>
      </w:r>
      <w:r w:rsidR="00F80BA7" w:rsidRPr="0046373D">
        <w:rPr>
          <w:rFonts w:cs="Calibri"/>
        </w:rPr>
        <w:t>,</w:t>
      </w:r>
      <w:r w:rsidRPr="0046373D">
        <w:rPr>
          <w:rFonts w:cs="Calibri"/>
        </w:rPr>
        <w:t xml:space="preserve"> shall be involved in </w:t>
      </w:r>
      <w:r w:rsidR="00F80BA7" w:rsidRPr="0046373D">
        <w:rPr>
          <w:rFonts w:cs="Calibri"/>
        </w:rPr>
        <w:t xml:space="preserve">meaningful </w:t>
      </w:r>
      <w:r w:rsidRPr="0046373D">
        <w:rPr>
          <w:rFonts w:cs="Calibri"/>
        </w:rPr>
        <w:t xml:space="preserve">government-to-government consultation with Indian tribes regarding the proposed changes to the Section 184 regulations.  Your involvement and those of other senior-level HUD officials thus far has been limited to the HUD listening sessions in which </w:t>
      </w:r>
      <w:r w:rsidR="00DC7F21">
        <w:rPr>
          <w:rFonts w:cs="Calibri"/>
        </w:rPr>
        <w:t>[SHORT NAME]</w:t>
      </w:r>
      <w:r w:rsidRPr="0046373D">
        <w:rPr>
          <w:rFonts w:cs="Calibri"/>
        </w:rPr>
        <w:t xml:space="preserve"> has participated in a few such session</w:t>
      </w:r>
      <w:r w:rsidR="00F80BA7" w:rsidRPr="0046373D">
        <w:rPr>
          <w:rFonts w:cs="Calibri"/>
        </w:rPr>
        <w:t>s</w:t>
      </w:r>
      <w:r w:rsidRPr="0046373D">
        <w:rPr>
          <w:rFonts w:cs="Calibri"/>
        </w:rPr>
        <w:t>.  However, as noted above, this does not equate to meaningful government-to-government consultation pursuant to EO 13175.</w:t>
      </w:r>
    </w:p>
    <w:p w:rsidR="00BB75FD" w:rsidRPr="0046373D" w:rsidRDefault="00BB75FD" w:rsidP="00BB75FD">
      <w:pPr>
        <w:widowControl w:val="0"/>
        <w:autoSpaceDE w:val="0"/>
        <w:autoSpaceDN w:val="0"/>
        <w:adjustRightInd w:val="0"/>
        <w:spacing w:after="0" w:line="240" w:lineRule="auto"/>
        <w:ind w:left="2160"/>
        <w:contextualSpacing/>
        <w:jc w:val="both"/>
        <w:rPr>
          <w:rFonts w:cs="Calibri"/>
        </w:rPr>
      </w:pPr>
    </w:p>
    <w:p w:rsidR="00F21488" w:rsidRPr="0046373D" w:rsidRDefault="00F21488" w:rsidP="00F21488">
      <w:pPr>
        <w:widowControl w:val="0"/>
        <w:numPr>
          <w:ilvl w:val="0"/>
          <w:numId w:val="4"/>
        </w:numPr>
        <w:autoSpaceDE w:val="0"/>
        <w:autoSpaceDN w:val="0"/>
        <w:adjustRightInd w:val="0"/>
        <w:spacing w:after="0" w:line="240" w:lineRule="auto"/>
        <w:ind w:left="1440" w:hanging="720"/>
        <w:contextualSpacing/>
        <w:jc w:val="both"/>
        <w:rPr>
          <w:rFonts w:eastAsiaTheme="minorEastAsia" w:cs="Calibri"/>
        </w:rPr>
      </w:pPr>
      <w:r w:rsidRPr="0046373D">
        <w:rPr>
          <w:rFonts w:eastAsiaTheme="minorEastAsia" w:cs="Calibri"/>
        </w:rPr>
        <w:t>Provide assurances to tribes that communications and documents shared as part of government-to-government consultation shall remain confidential unless the parties involved agree to share any such communications or documents with outside parties.</w:t>
      </w:r>
    </w:p>
    <w:p w:rsidR="00F21488" w:rsidRPr="0046373D" w:rsidRDefault="00F21488" w:rsidP="00F21488">
      <w:pPr>
        <w:widowControl w:val="0"/>
        <w:autoSpaceDE w:val="0"/>
        <w:autoSpaceDN w:val="0"/>
        <w:adjustRightInd w:val="0"/>
        <w:spacing w:after="0" w:line="240" w:lineRule="auto"/>
        <w:rPr>
          <w:rFonts w:eastAsiaTheme="minorEastAsia" w:cs="Calibri"/>
        </w:rPr>
      </w:pPr>
    </w:p>
    <w:p w:rsidR="000A4652" w:rsidRPr="0046373D" w:rsidRDefault="000A4652" w:rsidP="00F41F37">
      <w:pPr>
        <w:widowControl w:val="0"/>
        <w:autoSpaceDE w:val="0"/>
        <w:autoSpaceDN w:val="0"/>
        <w:adjustRightInd w:val="0"/>
        <w:spacing w:after="0" w:line="240" w:lineRule="auto"/>
        <w:ind w:left="2160"/>
        <w:contextualSpacing/>
        <w:jc w:val="both"/>
        <w:rPr>
          <w:rFonts w:cs="Calibri"/>
        </w:rPr>
      </w:pPr>
      <w:r w:rsidRPr="0046373D">
        <w:rPr>
          <w:rFonts w:cs="Calibri"/>
        </w:rPr>
        <w:t xml:space="preserve">No assurances </w:t>
      </w:r>
      <w:r w:rsidR="00F41F37" w:rsidRPr="0046373D">
        <w:rPr>
          <w:rFonts w:cs="Calibri"/>
        </w:rPr>
        <w:t xml:space="preserve">were </w:t>
      </w:r>
      <w:r w:rsidRPr="0046373D">
        <w:rPr>
          <w:rFonts w:cs="Calibri"/>
        </w:rPr>
        <w:t xml:space="preserve">provided to the tribal representatives participating in the </w:t>
      </w:r>
      <w:r w:rsidR="00F41F37" w:rsidRPr="0046373D">
        <w:rPr>
          <w:rFonts w:cs="Calibri"/>
        </w:rPr>
        <w:t>listening sessions that their communications, and any documents that they shared during these sessions</w:t>
      </w:r>
      <w:r w:rsidR="00F80BA7" w:rsidRPr="0046373D">
        <w:rPr>
          <w:rFonts w:cs="Calibri"/>
        </w:rPr>
        <w:t>,</w:t>
      </w:r>
      <w:r w:rsidR="00F41F37" w:rsidRPr="0046373D">
        <w:rPr>
          <w:rFonts w:cs="Calibri"/>
        </w:rPr>
        <w:t xml:space="preserve"> would remain confidential.  In fact, this would unlikely be possible with HUD encouraging tribal representatives from different tribes </w:t>
      </w:r>
      <w:r w:rsidR="00F80BA7" w:rsidRPr="0046373D">
        <w:rPr>
          <w:rFonts w:cs="Calibri"/>
        </w:rPr>
        <w:t xml:space="preserve">having varying interests </w:t>
      </w:r>
      <w:r w:rsidR="00F41F37" w:rsidRPr="0046373D">
        <w:rPr>
          <w:rFonts w:cs="Calibri"/>
        </w:rPr>
        <w:t>to participate in the same listening sessions.</w:t>
      </w:r>
    </w:p>
    <w:p w:rsidR="000A4652" w:rsidRPr="0046373D" w:rsidRDefault="000A4652" w:rsidP="00F21488">
      <w:pPr>
        <w:widowControl w:val="0"/>
        <w:autoSpaceDE w:val="0"/>
        <w:autoSpaceDN w:val="0"/>
        <w:adjustRightInd w:val="0"/>
        <w:spacing w:after="0" w:line="240" w:lineRule="auto"/>
        <w:rPr>
          <w:rFonts w:eastAsiaTheme="minorEastAsia" w:cs="Calibri"/>
          <w:highlight w:val="yellow"/>
        </w:rPr>
      </w:pPr>
    </w:p>
    <w:p w:rsidR="00A92E67" w:rsidRPr="0046373D" w:rsidRDefault="00DC7F21" w:rsidP="00A92E67">
      <w:pPr>
        <w:widowControl w:val="0"/>
        <w:autoSpaceDE w:val="0"/>
        <w:autoSpaceDN w:val="0"/>
        <w:adjustRightInd w:val="0"/>
        <w:spacing w:after="0" w:line="240" w:lineRule="auto"/>
        <w:ind w:firstLine="720"/>
        <w:jc w:val="both"/>
        <w:rPr>
          <w:rFonts w:eastAsiaTheme="minorEastAsia" w:cs="Calibri"/>
        </w:rPr>
      </w:pPr>
      <w:r>
        <w:rPr>
          <w:rFonts w:eastAsiaTheme="minorEastAsia" w:cs="Calibri"/>
        </w:rPr>
        <w:t>[SHORT NAME]</w:t>
      </w:r>
      <w:r w:rsidR="00A92E67" w:rsidRPr="0046373D">
        <w:rPr>
          <w:rFonts w:eastAsiaTheme="minorEastAsia" w:cs="Calibri"/>
        </w:rPr>
        <w:t xml:space="preserve"> strongly recommends that HUD to move beyond these listening sessions and commit to meaningful one-on-one government-to-government consultation with the </w:t>
      </w:r>
      <w:r w:rsidR="003F3EC1">
        <w:rPr>
          <w:rFonts w:eastAsiaTheme="minorEastAsia" w:cs="Calibri"/>
          <w:b/>
        </w:rPr>
        <w:t>[TRIBE][PUEBLO]</w:t>
      </w:r>
      <w:r w:rsidR="00A92E67" w:rsidRPr="0046373D">
        <w:rPr>
          <w:rFonts w:eastAsiaTheme="minorEastAsia" w:cs="Calibri"/>
        </w:rPr>
        <w:t xml:space="preserve"> and other Indian tribes regarding proposed changes to the Section 184 regulations.  Such consultation is necessary for several reasons.  First, meaningful one-on-one government-to-government consultation provides an opportunity for more candid conversations between an individual tribe and HUD than what would occur otherwise during a group meeting.  Second, each tribe’s circumstances are unique and must be treated as such by HUD.  A group meeting of tribes only gives short shrift to these circumstances.  Third, most cultural resources information is protected from release under statutory exemptions to the Freedom of Information Act.  Discussion of such information by an individual tribe as part of a group meeting of tribes risks its release to the general public and potentially endangers tribal cultural sites and practices.  Finally, the subject matter may be so unique that one-on-one government-to-government consultation </w:t>
      </w:r>
      <w:r w:rsidR="00A92E67" w:rsidRPr="0046373D">
        <w:rPr>
          <w:rFonts w:eastAsiaTheme="minorEastAsia" w:cs="Calibri"/>
        </w:rPr>
        <w:lastRenderedPageBreak/>
        <w:t>between individual tribes and HUD provides the best opportunity for a resolution to the situation versus a group meeting of tribes where any number of tribal issues could be brought up with only a limited period of time to discuss them.</w:t>
      </w:r>
    </w:p>
    <w:p w:rsidR="00A92E67" w:rsidRPr="0046373D" w:rsidRDefault="00A92E67" w:rsidP="00F21488">
      <w:pPr>
        <w:widowControl w:val="0"/>
        <w:autoSpaceDE w:val="0"/>
        <w:autoSpaceDN w:val="0"/>
        <w:adjustRightInd w:val="0"/>
        <w:spacing w:after="0" w:line="240" w:lineRule="auto"/>
        <w:rPr>
          <w:rFonts w:eastAsiaTheme="minorEastAsia" w:cs="Calibri"/>
          <w:highlight w:val="yellow"/>
        </w:rPr>
      </w:pPr>
    </w:p>
    <w:p w:rsidR="00E60ECF" w:rsidRDefault="00E60ECF" w:rsidP="005B2879">
      <w:pPr>
        <w:widowControl w:val="0"/>
        <w:autoSpaceDE w:val="0"/>
        <w:autoSpaceDN w:val="0"/>
        <w:adjustRightInd w:val="0"/>
        <w:spacing w:after="0" w:line="240" w:lineRule="auto"/>
        <w:ind w:firstLine="720"/>
        <w:jc w:val="both"/>
        <w:rPr>
          <w:rFonts w:eastAsiaTheme="minorEastAsia" w:cs="Calibri"/>
        </w:rPr>
      </w:pPr>
      <w:r w:rsidRPr="0046373D">
        <w:rPr>
          <w:rFonts w:eastAsiaTheme="minorEastAsia" w:cs="Calibri"/>
        </w:rPr>
        <w:t xml:space="preserve">In addition, </w:t>
      </w:r>
      <w:r w:rsidR="00DC7F21">
        <w:rPr>
          <w:rFonts w:eastAsiaTheme="minorEastAsia" w:cs="Calibri"/>
        </w:rPr>
        <w:t>[SHORT NAME]</w:t>
      </w:r>
      <w:r w:rsidR="00A92E67" w:rsidRPr="0046373D">
        <w:rPr>
          <w:rFonts w:eastAsiaTheme="minorEastAsia" w:cs="Calibri"/>
        </w:rPr>
        <w:t xml:space="preserve"> recommends that HUD clearly identify its rationale about why changes to the Section 184 regulations are necessary (</w:t>
      </w:r>
      <w:r w:rsidR="00A92E67" w:rsidRPr="0046373D">
        <w:rPr>
          <w:rFonts w:eastAsiaTheme="minorEastAsia" w:cs="Calibri"/>
          <w:i/>
        </w:rPr>
        <w:t xml:space="preserve">e.g., </w:t>
      </w:r>
      <w:r w:rsidR="00A92E67" w:rsidRPr="0046373D">
        <w:rPr>
          <w:rFonts w:eastAsiaTheme="minorEastAsia" w:cs="Calibri"/>
        </w:rPr>
        <w:t xml:space="preserve">more than just indicating that the number of loans and their amounts have increased under Section 184); </w:t>
      </w:r>
      <w:r w:rsidRPr="0046373D">
        <w:rPr>
          <w:rFonts w:eastAsiaTheme="minorEastAsia" w:cs="Calibri"/>
        </w:rPr>
        <w:t>and</w:t>
      </w:r>
      <w:r w:rsidR="00E765BC">
        <w:rPr>
          <w:rFonts w:eastAsiaTheme="minorEastAsia" w:cs="Calibri"/>
        </w:rPr>
        <w:t xml:space="preserve"> provide</w:t>
      </w:r>
      <w:r w:rsidRPr="0046373D">
        <w:rPr>
          <w:rFonts w:eastAsiaTheme="minorEastAsia" w:cs="Calibri"/>
        </w:rPr>
        <w:t xml:space="preserve"> better insight as to the Section 184 provisions to which it is considering changes and any other provisions that it may want to add to these regulations.</w:t>
      </w:r>
      <w:r w:rsidR="005B2879" w:rsidRPr="0046373D">
        <w:rPr>
          <w:rFonts w:eastAsiaTheme="minorEastAsia" w:cs="Calibri"/>
        </w:rPr>
        <w:t xml:space="preserve">  What are the problems that HUD sees with Section 184?  Does HUD anticipate making changes to the Section 184 regulations that better address borrower protections, risk management, expansion of Section 184 availability</w:t>
      </w:r>
      <w:r w:rsidR="00747298" w:rsidRPr="0046373D">
        <w:rPr>
          <w:rFonts w:eastAsiaTheme="minorEastAsia" w:cs="Calibri"/>
        </w:rPr>
        <w:t xml:space="preserve"> or some other aspect of Section 184</w:t>
      </w:r>
      <w:r w:rsidR="005B2879" w:rsidRPr="0046373D">
        <w:rPr>
          <w:rFonts w:eastAsiaTheme="minorEastAsia" w:cs="Calibri"/>
        </w:rPr>
        <w:t xml:space="preserve">?  </w:t>
      </w:r>
      <w:r w:rsidRPr="0046373D">
        <w:rPr>
          <w:rFonts w:eastAsiaTheme="minorEastAsia" w:cs="Calibri"/>
        </w:rPr>
        <w:t xml:space="preserve"> </w:t>
      </w:r>
      <w:r w:rsidR="00A92E67" w:rsidRPr="0046373D">
        <w:rPr>
          <w:rFonts w:eastAsiaTheme="minorEastAsia" w:cs="Calibri"/>
        </w:rPr>
        <w:t xml:space="preserve">Absent </w:t>
      </w:r>
      <w:r w:rsidR="005B2879" w:rsidRPr="0046373D">
        <w:rPr>
          <w:rFonts w:eastAsiaTheme="minorEastAsia" w:cs="Calibri"/>
        </w:rPr>
        <w:t>answers by HUD to these questions</w:t>
      </w:r>
      <w:r w:rsidR="00E765BC">
        <w:rPr>
          <w:rFonts w:eastAsiaTheme="minorEastAsia" w:cs="Calibri"/>
        </w:rPr>
        <w:t>,</w:t>
      </w:r>
      <w:r w:rsidR="00A92E67" w:rsidRPr="0046373D">
        <w:rPr>
          <w:rFonts w:eastAsiaTheme="minorEastAsia" w:cs="Calibri"/>
        </w:rPr>
        <w:t xml:space="preserve"> it</w:t>
      </w:r>
      <w:r w:rsidR="00E765BC">
        <w:rPr>
          <w:rFonts w:eastAsiaTheme="minorEastAsia" w:cs="Calibri"/>
        </w:rPr>
        <w:t xml:space="preserve"> is</w:t>
      </w:r>
      <w:r w:rsidR="00A92E67" w:rsidRPr="0046373D">
        <w:rPr>
          <w:rFonts w:eastAsiaTheme="minorEastAsia" w:cs="Calibri"/>
        </w:rPr>
        <w:t xml:space="preserve"> difficult for the </w:t>
      </w:r>
      <w:r w:rsidR="003F3EC1">
        <w:rPr>
          <w:rFonts w:eastAsiaTheme="minorEastAsia" w:cs="Calibri"/>
          <w:b/>
        </w:rPr>
        <w:t xml:space="preserve">[TRIBE][PUEBLO] </w:t>
      </w:r>
      <w:r w:rsidR="00A92E67" w:rsidRPr="0046373D">
        <w:rPr>
          <w:rFonts w:eastAsiaTheme="minorEastAsia" w:cs="Calibri"/>
        </w:rPr>
        <w:t>and other tribes to fully engage</w:t>
      </w:r>
      <w:r w:rsidR="00747298" w:rsidRPr="0046373D">
        <w:rPr>
          <w:rFonts w:eastAsiaTheme="minorEastAsia" w:cs="Calibri"/>
        </w:rPr>
        <w:t xml:space="preserve"> in meaningful government-to-government consultation with HUD</w:t>
      </w:r>
      <w:r w:rsidR="00A92E67" w:rsidRPr="0046373D">
        <w:rPr>
          <w:rFonts w:eastAsiaTheme="minorEastAsia" w:cs="Calibri"/>
        </w:rPr>
        <w:t xml:space="preserve"> regarding proposed changes to the Section 184 regulations.</w:t>
      </w:r>
      <w:r w:rsidRPr="0046373D">
        <w:rPr>
          <w:rFonts w:eastAsiaTheme="minorEastAsia" w:cs="Calibri"/>
        </w:rPr>
        <w:t xml:space="preserve">  </w:t>
      </w:r>
    </w:p>
    <w:p w:rsidR="00A94D76" w:rsidRDefault="00A94D76" w:rsidP="005B2879">
      <w:pPr>
        <w:widowControl w:val="0"/>
        <w:autoSpaceDE w:val="0"/>
        <w:autoSpaceDN w:val="0"/>
        <w:adjustRightInd w:val="0"/>
        <w:spacing w:after="0" w:line="240" w:lineRule="auto"/>
        <w:ind w:firstLine="720"/>
        <w:jc w:val="both"/>
        <w:rPr>
          <w:rFonts w:eastAsiaTheme="minorEastAsia" w:cs="Calibri"/>
        </w:rPr>
      </w:pPr>
    </w:p>
    <w:p w:rsidR="00A94D76" w:rsidRDefault="00A94D76" w:rsidP="005B2879">
      <w:pPr>
        <w:widowControl w:val="0"/>
        <w:autoSpaceDE w:val="0"/>
        <w:autoSpaceDN w:val="0"/>
        <w:adjustRightInd w:val="0"/>
        <w:spacing w:after="0" w:line="240" w:lineRule="auto"/>
        <w:ind w:firstLine="720"/>
        <w:jc w:val="both"/>
        <w:rPr>
          <w:rFonts w:eastAsiaTheme="minorEastAsia" w:cs="Calibri"/>
        </w:rPr>
      </w:pPr>
      <w:r>
        <w:rPr>
          <w:rFonts w:eastAsiaTheme="minorEastAsia" w:cs="Calibri"/>
        </w:rPr>
        <w:t xml:space="preserve">Finally, on May 16, 2014, HUD sent out a notice of tribal consultation dealing with “possible regulatory changes” to the Section 184 regulations.  At that time, the tribes were informed that HUD was considering modification to the regulations </w:t>
      </w:r>
      <w:r w:rsidR="00816E37">
        <w:rPr>
          <w:rFonts w:eastAsiaTheme="minorEastAsia" w:cs="Calibri"/>
        </w:rPr>
        <w:t>in borrower protections, loss mitigation, risk management, and expanding the 184 program availability.  HUD indicated that</w:t>
      </w:r>
      <w:r w:rsidR="00E765BC">
        <w:rPr>
          <w:rFonts w:eastAsiaTheme="minorEastAsia" w:cs="Calibri"/>
        </w:rPr>
        <w:t>,</w:t>
      </w:r>
      <w:r w:rsidR="00816E37">
        <w:rPr>
          <w:rFonts w:eastAsiaTheme="minorEastAsia" w:cs="Calibri"/>
        </w:rPr>
        <w:t xml:space="preserve"> in achieving this goal it was planning to model the changes after the Federal Housing Administration (FHA)</w:t>
      </w:r>
      <w:r>
        <w:rPr>
          <w:rFonts w:eastAsiaTheme="minorEastAsia" w:cs="Calibri"/>
        </w:rPr>
        <w:t xml:space="preserve"> </w:t>
      </w:r>
      <w:r w:rsidR="00816E37">
        <w:rPr>
          <w:rFonts w:eastAsiaTheme="minorEastAsia" w:cs="Calibri"/>
        </w:rPr>
        <w:t xml:space="preserve">regulations.  Specifically it was considering regulations found at </w:t>
      </w:r>
      <w:r w:rsidR="009874C7">
        <w:rPr>
          <w:rFonts w:eastAsiaTheme="minorEastAsia" w:cs="Calibri"/>
        </w:rPr>
        <w:t>24 C</w:t>
      </w:r>
      <w:r w:rsidR="00E765BC">
        <w:rPr>
          <w:rFonts w:eastAsiaTheme="minorEastAsia" w:cs="Calibri"/>
        </w:rPr>
        <w:t>.</w:t>
      </w:r>
      <w:r w:rsidR="009874C7">
        <w:rPr>
          <w:rFonts w:eastAsiaTheme="minorEastAsia" w:cs="Calibri"/>
        </w:rPr>
        <w:t>F</w:t>
      </w:r>
      <w:r w:rsidR="00E765BC">
        <w:rPr>
          <w:rFonts w:eastAsiaTheme="minorEastAsia" w:cs="Calibri"/>
        </w:rPr>
        <w:t>.</w:t>
      </w:r>
      <w:r w:rsidR="009874C7">
        <w:rPr>
          <w:rFonts w:eastAsiaTheme="minorEastAsia" w:cs="Calibri"/>
        </w:rPr>
        <w:t>R</w:t>
      </w:r>
      <w:r w:rsidR="00E765BC">
        <w:rPr>
          <w:rFonts w:eastAsiaTheme="minorEastAsia" w:cs="Calibri"/>
        </w:rPr>
        <w:t>.</w:t>
      </w:r>
      <w:r w:rsidR="009874C7">
        <w:rPr>
          <w:rFonts w:eastAsiaTheme="minorEastAsia" w:cs="Calibri"/>
        </w:rPr>
        <w:t xml:space="preserve"> §203.3, §203.5, §203.500-502, §203.508, §203.510, §203.512, §203.550, §203.552, §203.554, §203.556, §203.558, §203.600, §203.606, §203.608, §203.610, §203.614, §203.616, §203.670, and 12 C</w:t>
      </w:r>
      <w:r w:rsidR="00E765BC">
        <w:rPr>
          <w:rFonts w:eastAsiaTheme="minorEastAsia" w:cs="Calibri"/>
        </w:rPr>
        <w:t>.</w:t>
      </w:r>
      <w:r w:rsidR="009874C7">
        <w:rPr>
          <w:rFonts w:eastAsiaTheme="minorEastAsia" w:cs="Calibri"/>
        </w:rPr>
        <w:t>F</w:t>
      </w:r>
      <w:r w:rsidR="00E765BC">
        <w:rPr>
          <w:rFonts w:eastAsiaTheme="minorEastAsia" w:cs="Calibri"/>
        </w:rPr>
        <w:t>.</w:t>
      </w:r>
      <w:r w:rsidR="009874C7">
        <w:rPr>
          <w:rFonts w:eastAsiaTheme="minorEastAsia" w:cs="Calibri"/>
        </w:rPr>
        <w:t>R</w:t>
      </w:r>
      <w:r w:rsidR="00E765BC">
        <w:rPr>
          <w:rFonts w:eastAsiaTheme="minorEastAsia" w:cs="Calibri"/>
        </w:rPr>
        <w:t>.</w:t>
      </w:r>
      <w:r w:rsidR="003870F2">
        <w:rPr>
          <w:rFonts w:eastAsiaTheme="minorEastAsia" w:cs="Calibri"/>
        </w:rPr>
        <w:t xml:space="preserve"> §§1024.39 and 1024.41.  Are the use of these regulations as a model still </w:t>
      </w:r>
      <w:r w:rsidR="00E765BC">
        <w:rPr>
          <w:rFonts w:eastAsiaTheme="minorEastAsia" w:cs="Calibri"/>
        </w:rPr>
        <w:t>under</w:t>
      </w:r>
      <w:r w:rsidR="003870F2">
        <w:rPr>
          <w:rFonts w:eastAsiaTheme="minorEastAsia" w:cs="Calibri"/>
        </w:rPr>
        <w:t xml:space="preserve"> consideration?  If so, we wish to remind HUD that, in 2014, the majority of </w:t>
      </w:r>
      <w:r w:rsidR="00E765BC">
        <w:rPr>
          <w:rFonts w:eastAsiaTheme="minorEastAsia" w:cs="Calibri"/>
        </w:rPr>
        <w:t xml:space="preserve">Indian </w:t>
      </w:r>
      <w:r w:rsidR="003870F2">
        <w:rPr>
          <w:rFonts w:eastAsiaTheme="minorEastAsia" w:cs="Calibri"/>
        </w:rPr>
        <w:t xml:space="preserve">tribes opining on the </w:t>
      </w:r>
      <w:r w:rsidR="00E765BC">
        <w:rPr>
          <w:rFonts w:eastAsiaTheme="minorEastAsia" w:cs="Calibri"/>
        </w:rPr>
        <w:t xml:space="preserve">2014 </w:t>
      </w:r>
      <w:r w:rsidR="003870F2">
        <w:rPr>
          <w:rFonts w:eastAsiaTheme="minorEastAsia" w:cs="Calibri"/>
        </w:rPr>
        <w:t xml:space="preserve">proposal felt that an FHA </w:t>
      </w:r>
      <w:r w:rsidR="006B472B">
        <w:rPr>
          <w:rFonts w:eastAsiaTheme="minorEastAsia" w:cs="Calibri"/>
        </w:rPr>
        <w:t xml:space="preserve">type </w:t>
      </w:r>
      <w:r w:rsidR="003870F2">
        <w:rPr>
          <w:rFonts w:eastAsiaTheme="minorEastAsia" w:cs="Calibri"/>
        </w:rPr>
        <w:t xml:space="preserve">program was not appropriate for Indian communities </w:t>
      </w:r>
      <w:r w:rsidR="006B472B">
        <w:rPr>
          <w:rFonts w:eastAsiaTheme="minorEastAsia" w:cs="Calibri"/>
        </w:rPr>
        <w:t xml:space="preserve">and that incorporation of those regulations would not help the </w:t>
      </w:r>
      <w:r w:rsidR="00E765BC">
        <w:rPr>
          <w:rFonts w:eastAsiaTheme="minorEastAsia" w:cs="Calibri"/>
        </w:rPr>
        <w:t xml:space="preserve">Section 184 </w:t>
      </w:r>
      <w:r w:rsidR="006B472B">
        <w:rPr>
          <w:rFonts w:eastAsiaTheme="minorEastAsia" w:cs="Calibri"/>
        </w:rPr>
        <w:t xml:space="preserve">program. </w:t>
      </w:r>
    </w:p>
    <w:p w:rsidR="006D389D" w:rsidRPr="0046373D" w:rsidRDefault="006D389D" w:rsidP="005B2879">
      <w:pPr>
        <w:widowControl w:val="0"/>
        <w:autoSpaceDE w:val="0"/>
        <w:autoSpaceDN w:val="0"/>
        <w:adjustRightInd w:val="0"/>
        <w:spacing w:after="0" w:line="240" w:lineRule="auto"/>
        <w:ind w:firstLine="720"/>
        <w:jc w:val="both"/>
        <w:rPr>
          <w:rFonts w:eastAsiaTheme="minorEastAsia" w:cs="Calibri"/>
        </w:rPr>
      </w:pPr>
    </w:p>
    <w:p w:rsidR="006D389D" w:rsidRDefault="006D389D" w:rsidP="00B468C6">
      <w:pPr>
        <w:spacing w:after="0" w:line="240" w:lineRule="auto"/>
        <w:jc w:val="center"/>
        <w:rPr>
          <w:rFonts w:cs="Calibri"/>
          <w:b/>
          <w:u w:val="single"/>
        </w:rPr>
      </w:pPr>
      <w:r>
        <w:rPr>
          <w:rFonts w:cs="Calibri"/>
          <w:b/>
        </w:rPr>
        <w:t xml:space="preserve">SPECIFIC </w:t>
      </w:r>
      <w:r w:rsidR="00281828">
        <w:rPr>
          <w:rFonts w:cs="Calibri"/>
          <w:b/>
        </w:rPr>
        <w:t xml:space="preserve">SECTION 184 </w:t>
      </w:r>
      <w:r>
        <w:rPr>
          <w:rFonts w:cs="Calibri"/>
          <w:b/>
        </w:rPr>
        <w:t>REGULATORY PROVISIONS</w:t>
      </w:r>
    </w:p>
    <w:p w:rsidR="00B468C6" w:rsidRDefault="00B468C6" w:rsidP="00B468C6">
      <w:pPr>
        <w:spacing w:after="0" w:line="240" w:lineRule="auto"/>
        <w:jc w:val="center"/>
        <w:rPr>
          <w:rFonts w:cs="Calibri"/>
          <w:b/>
          <w:u w:val="single"/>
        </w:rPr>
      </w:pPr>
    </w:p>
    <w:p w:rsidR="00B468C6" w:rsidRPr="004F557B" w:rsidRDefault="0018540D" w:rsidP="00B468C6">
      <w:pPr>
        <w:pStyle w:val="ListParagraph"/>
        <w:numPr>
          <w:ilvl w:val="0"/>
          <w:numId w:val="6"/>
        </w:numPr>
        <w:spacing w:after="0" w:line="240" w:lineRule="auto"/>
        <w:ind w:left="0" w:firstLine="720"/>
        <w:jc w:val="both"/>
        <w:rPr>
          <w:rFonts w:cs="Calibri"/>
          <w:b/>
          <w:u w:val="single"/>
        </w:rPr>
      </w:pPr>
      <w:r>
        <w:rPr>
          <w:rFonts w:cs="Calibri"/>
        </w:rPr>
        <w:t xml:space="preserve">Section 1005.101 provides that </w:t>
      </w:r>
      <w:r w:rsidR="006D4DF3">
        <w:rPr>
          <w:rFonts w:cs="Calibri"/>
        </w:rPr>
        <w:t xml:space="preserve">Section </w:t>
      </w:r>
      <w:r>
        <w:rPr>
          <w:rFonts w:cs="Calibri"/>
        </w:rPr>
        <w:t>184 applies to homes located on trust or restricted land or land located in an Indian or Alaska Native area</w:t>
      </w:r>
      <w:r w:rsidR="006D4DF3">
        <w:rPr>
          <w:rFonts w:cs="Calibri"/>
        </w:rPr>
        <w:t>;</w:t>
      </w:r>
      <w:r>
        <w:rPr>
          <w:rFonts w:cs="Calibri"/>
        </w:rPr>
        <w:t xml:space="preserve"> </w:t>
      </w:r>
      <w:r w:rsidR="006D4DF3">
        <w:rPr>
          <w:rFonts w:cs="Calibri"/>
        </w:rPr>
        <w:t>t</w:t>
      </w:r>
      <w:r>
        <w:rPr>
          <w:rFonts w:cs="Calibri"/>
        </w:rPr>
        <w:t xml:space="preserve">his </w:t>
      </w:r>
      <w:proofErr w:type="gramStart"/>
      <w:r>
        <w:rPr>
          <w:rFonts w:cs="Calibri"/>
        </w:rPr>
        <w:t>is a reflection of</w:t>
      </w:r>
      <w:proofErr w:type="gramEnd"/>
      <w:r>
        <w:rPr>
          <w:rFonts w:cs="Calibri"/>
        </w:rPr>
        <w:t xml:space="preserve"> §</w:t>
      </w:r>
      <w:r w:rsidRPr="0046373D">
        <w:t>1715z-13a(b)(2)</w:t>
      </w:r>
      <w:r w:rsidR="00AF45F3">
        <w:t xml:space="preserve"> of the </w:t>
      </w:r>
      <w:r w:rsidR="006D4DF3">
        <w:t xml:space="preserve">Section 184 </w:t>
      </w:r>
      <w:r w:rsidR="00AF45F3">
        <w:t>statute.  While the regulation does not define the term “Indian area,” §</w:t>
      </w:r>
      <w:r w:rsidR="00AF45F3" w:rsidRPr="0046373D">
        <w:t>1715z-13a(</w:t>
      </w:r>
      <w:r w:rsidR="00AF45F3">
        <w:t>l</w:t>
      </w:r>
      <w:r w:rsidR="00AF45F3" w:rsidRPr="0046373D">
        <w:t>)(</w:t>
      </w:r>
      <w:r w:rsidR="00AF45F3">
        <w:t>4</w:t>
      </w:r>
      <w:r w:rsidR="00AF45F3" w:rsidRPr="0046373D">
        <w:t>)</w:t>
      </w:r>
      <w:r w:rsidR="00AF45F3">
        <w:t xml:space="preserve"> defines Indian area as “</w:t>
      </w:r>
      <w:r w:rsidR="00A82CA6" w:rsidRPr="00E77E97">
        <w:t xml:space="preserve">the area within which an </w:t>
      </w:r>
      <w:hyperlink r:id="rId8" w:tooltip="Indian housing authority" w:history="1">
        <w:r w:rsidR="00A82CA6" w:rsidRPr="00E77E97">
          <w:t>Indian housing authority</w:t>
        </w:r>
      </w:hyperlink>
      <w:r w:rsidR="00A82CA6" w:rsidRPr="00E77E97">
        <w:t xml:space="preserve"> or Indian tribe is authorized to provide housin</w:t>
      </w:r>
      <w:r w:rsidR="00A82CA6">
        <w:t>g.”  Because HUD has authorized an individual tribe to claim all lands within a state, not under the jurisdiction of another tribe, as its “Indian Area” for the 184 loan guarantee program, and because this is entirely different from the definition contained in NAHASDA</w:t>
      </w:r>
      <w:r w:rsidR="004F557B">
        <w:t>, a clear definitions of “Indian Area” and “Alaska Native Area” should be incorporated into §1005.103.</w:t>
      </w:r>
    </w:p>
    <w:p w:rsidR="004F557B" w:rsidRPr="004F557B" w:rsidRDefault="004F557B" w:rsidP="004F557B">
      <w:pPr>
        <w:pStyle w:val="ListParagraph"/>
        <w:spacing w:after="0" w:line="240" w:lineRule="auto"/>
        <w:jc w:val="both"/>
        <w:rPr>
          <w:rFonts w:cs="Calibri"/>
          <w:b/>
          <w:u w:val="single"/>
        </w:rPr>
      </w:pPr>
    </w:p>
    <w:p w:rsidR="0007740C" w:rsidRPr="0007740C" w:rsidRDefault="0007740C" w:rsidP="00B468C6">
      <w:pPr>
        <w:pStyle w:val="ListParagraph"/>
        <w:numPr>
          <w:ilvl w:val="0"/>
          <w:numId w:val="6"/>
        </w:numPr>
        <w:spacing w:after="0" w:line="240" w:lineRule="auto"/>
        <w:ind w:left="0" w:firstLine="720"/>
        <w:jc w:val="both"/>
        <w:rPr>
          <w:rFonts w:cs="Calibri"/>
          <w:b/>
          <w:u w:val="single"/>
        </w:rPr>
      </w:pPr>
      <w:r>
        <w:rPr>
          <w:rFonts w:cs="Calibri"/>
        </w:rPr>
        <w:t>Section 1005.103</w:t>
      </w:r>
      <w:r w:rsidR="006D4DF3">
        <w:rPr>
          <w:rFonts w:cs="Calibri"/>
        </w:rPr>
        <w:t xml:space="preserve"> </w:t>
      </w:r>
      <w:r w:rsidR="006D4DF3">
        <w:t>of the Section 184 regulations</w:t>
      </w:r>
      <w:r w:rsidR="00281828">
        <w:t>:</w:t>
      </w:r>
    </w:p>
    <w:p w:rsidR="0007740C" w:rsidRPr="0007740C" w:rsidRDefault="0007740C" w:rsidP="0007740C">
      <w:pPr>
        <w:pStyle w:val="ListParagraph"/>
        <w:rPr>
          <w:rFonts w:cs="Calibri"/>
        </w:rPr>
      </w:pPr>
    </w:p>
    <w:p w:rsidR="0007740C" w:rsidRPr="0007740C" w:rsidRDefault="0007740C" w:rsidP="0007740C">
      <w:pPr>
        <w:pStyle w:val="ListParagraph"/>
        <w:numPr>
          <w:ilvl w:val="1"/>
          <w:numId w:val="6"/>
        </w:numPr>
        <w:spacing w:after="0" w:line="240" w:lineRule="auto"/>
        <w:ind w:left="0" w:firstLine="1440"/>
        <w:jc w:val="both"/>
        <w:rPr>
          <w:rFonts w:cs="Calibri"/>
          <w:b/>
          <w:u w:val="single"/>
        </w:rPr>
      </w:pPr>
      <w:r>
        <w:rPr>
          <w:rFonts w:cs="Calibri"/>
        </w:rPr>
        <w:t xml:space="preserve">A definition of </w:t>
      </w:r>
      <w:r w:rsidR="00281828">
        <w:rPr>
          <w:rFonts w:cs="Calibri"/>
        </w:rPr>
        <w:t>“</w:t>
      </w:r>
      <w:r>
        <w:rPr>
          <w:rFonts w:cs="Calibri"/>
        </w:rPr>
        <w:t>Mortgagor should be added.</w:t>
      </w:r>
    </w:p>
    <w:p w:rsidR="0007740C" w:rsidRPr="0007740C" w:rsidRDefault="0007740C" w:rsidP="0007740C">
      <w:pPr>
        <w:pStyle w:val="ListParagraph"/>
        <w:spacing w:after="0" w:line="240" w:lineRule="auto"/>
        <w:ind w:left="1440"/>
        <w:jc w:val="both"/>
        <w:rPr>
          <w:rFonts w:cs="Calibri"/>
          <w:b/>
          <w:u w:val="single"/>
        </w:rPr>
      </w:pPr>
    </w:p>
    <w:p w:rsidR="004F557B" w:rsidRPr="0007740C" w:rsidRDefault="004F557B" w:rsidP="0007740C">
      <w:pPr>
        <w:pStyle w:val="ListParagraph"/>
        <w:numPr>
          <w:ilvl w:val="1"/>
          <w:numId w:val="6"/>
        </w:numPr>
        <w:spacing w:after="0" w:line="240" w:lineRule="auto"/>
        <w:ind w:left="0" w:firstLine="1440"/>
        <w:jc w:val="both"/>
        <w:rPr>
          <w:rFonts w:cs="Calibri"/>
          <w:b/>
          <w:u w:val="single"/>
        </w:rPr>
      </w:pPr>
      <w:r>
        <w:rPr>
          <w:rFonts w:cs="Calibri"/>
        </w:rPr>
        <w:t xml:space="preserve">The §1005.103 definition of “principal residence” should be modified to make it clear that </w:t>
      </w:r>
      <w:r w:rsidR="0007740C">
        <w:rPr>
          <w:rFonts w:cs="Calibri"/>
        </w:rPr>
        <w:t xml:space="preserve">it </w:t>
      </w:r>
      <w:r>
        <w:rPr>
          <w:rFonts w:cs="Calibri"/>
        </w:rPr>
        <w:t>applies only to a mortga</w:t>
      </w:r>
      <w:r w:rsidR="0007740C">
        <w:rPr>
          <w:rFonts w:cs="Calibri"/>
        </w:rPr>
        <w:t>gor that is an Indian family.</w:t>
      </w:r>
    </w:p>
    <w:p w:rsidR="0007740C" w:rsidRPr="0007740C" w:rsidRDefault="0007740C" w:rsidP="0007740C">
      <w:pPr>
        <w:pStyle w:val="ListParagraph"/>
        <w:rPr>
          <w:rFonts w:cs="Calibri"/>
          <w:b/>
          <w:u w:val="single"/>
        </w:rPr>
      </w:pPr>
    </w:p>
    <w:p w:rsidR="0007740C" w:rsidRPr="00D34AB3" w:rsidRDefault="00642CE7" w:rsidP="0007740C">
      <w:pPr>
        <w:pStyle w:val="ListParagraph"/>
        <w:numPr>
          <w:ilvl w:val="0"/>
          <w:numId w:val="6"/>
        </w:numPr>
        <w:spacing w:after="0" w:line="240" w:lineRule="auto"/>
        <w:ind w:left="0" w:firstLine="720"/>
        <w:jc w:val="both"/>
        <w:rPr>
          <w:rFonts w:cs="Calibri"/>
          <w:b/>
          <w:u w:val="single"/>
        </w:rPr>
      </w:pPr>
      <w:r>
        <w:rPr>
          <w:rFonts w:cs="Calibri"/>
        </w:rPr>
        <w:t xml:space="preserve">Section 1005.105(e) deals with environmental compliance.  While the requirements seem to be clear as to </w:t>
      </w:r>
      <w:r w:rsidR="00281828">
        <w:rPr>
          <w:rFonts w:cs="Calibri"/>
        </w:rPr>
        <w:t xml:space="preserve">the </w:t>
      </w:r>
      <w:r>
        <w:rPr>
          <w:rFonts w:cs="Calibri"/>
        </w:rPr>
        <w:t xml:space="preserve">construction of homes on located within the exterior boundaries of a reservation or </w:t>
      </w:r>
      <w:r>
        <w:rPr>
          <w:rFonts w:cs="Calibri"/>
        </w:rPr>
        <w:lastRenderedPageBreak/>
        <w:t xml:space="preserve">Pueblo, it seems that the requirements related to </w:t>
      </w:r>
      <w:r w:rsidR="00281828">
        <w:rPr>
          <w:rFonts w:cs="Calibri"/>
        </w:rPr>
        <w:t xml:space="preserve">the </w:t>
      </w:r>
      <w:r>
        <w:rPr>
          <w:rFonts w:cs="Calibri"/>
        </w:rPr>
        <w:t>construction or purchase of a home in other areas of the state are less clear.  Th</w:t>
      </w:r>
      <w:r w:rsidR="00D34AB3">
        <w:rPr>
          <w:rFonts w:cs="Calibri"/>
        </w:rPr>
        <w:t>is should be rectified.</w:t>
      </w:r>
    </w:p>
    <w:p w:rsidR="00D34AB3" w:rsidRPr="00D34AB3" w:rsidRDefault="00D34AB3" w:rsidP="00D34AB3">
      <w:pPr>
        <w:pStyle w:val="ListParagraph"/>
        <w:spacing w:after="0" w:line="240" w:lineRule="auto"/>
        <w:jc w:val="both"/>
        <w:rPr>
          <w:rFonts w:cs="Calibri"/>
          <w:b/>
          <w:u w:val="single"/>
        </w:rPr>
      </w:pPr>
    </w:p>
    <w:p w:rsidR="00AA38BA" w:rsidRPr="00AA38BA" w:rsidRDefault="00D34AB3" w:rsidP="0007740C">
      <w:pPr>
        <w:pStyle w:val="ListParagraph"/>
        <w:numPr>
          <w:ilvl w:val="0"/>
          <w:numId w:val="6"/>
        </w:numPr>
        <w:spacing w:after="0" w:line="240" w:lineRule="auto"/>
        <w:ind w:left="0" w:firstLine="720"/>
        <w:jc w:val="both"/>
        <w:rPr>
          <w:rFonts w:cs="Calibri"/>
          <w:b/>
          <w:u w:val="single"/>
        </w:rPr>
      </w:pPr>
      <w:r>
        <w:rPr>
          <w:rFonts w:cs="Calibri"/>
        </w:rPr>
        <w:t>Section 1005.105(f) provides that, if a loan guarantee is to be issued on lands not subject to trust or restrictions, the borrower must certify that he or she lacks access to private financial markets.</w:t>
      </w:r>
      <w:r w:rsidR="00AA38BA">
        <w:rPr>
          <w:rFonts w:cs="Calibri"/>
        </w:rPr>
        <w:t xml:space="preserve">  This requirement is extremely vague and should be clarified.</w:t>
      </w:r>
    </w:p>
    <w:p w:rsidR="00AA38BA" w:rsidRPr="00AA38BA" w:rsidRDefault="00AA38BA" w:rsidP="00AA38BA">
      <w:pPr>
        <w:pStyle w:val="ListParagraph"/>
        <w:rPr>
          <w:rFonts w:cs="Calibri"/>
        </w:rPr>
      </w:pPr>
    </w:p>
    <w:p w:rsidR="00C46FB0" w:rsidRPr="00C46FB0" w:rsidRDefault="00C46FB0" w:rsidP="0007740C">
      <w:pPr>
        <w:pStyle w:val="ListParagraph"/>
        <w:numPr>
          <w:ilvl w:val="0"/>
          <w:numId w:val="6"/>
        </w:numPr>
        <w:spacing w:after="0" w:line="240" w:lineRule="auto"/>
        <w:ind w:left="0" w:firstLine="720"/>
        <w:jc w:val="both"/>
        <w:rPr>
          <w:rFonts w:cs="Calibri"/>
          <w:b/>
          <w:u w:val="single"/>
        </w:rPr>
      </w:pPr>
      <w:r>
        <w:rPr>
          <w:rFonts w:cs="Calibri"/>
        </w:rPr>
        <w:t>Section 1005.107 should include a right of first refusal as a requirement contained in all form leases.</w:t>
      </w:r>
    </w:p>
    <w:p w:rsidR="00C46FB0" w:rsidRPr="00C46FB0" w:rsidRDefault="00C46FB0" w:rsidP="00C46FB0">
      <w:pPr>
        <w:pStyle w:val="ListParagraph"/>
        <w:rPr>
          <w:rFonts w:cs="Calibri"/>
        </w:rPr>
      </w:pPr>
    </w:p>
    <w:p w:rsidR="00C46FB0" w:rsidRPr="00281828" w:rsidRDefault="00391F44" w:rsidP="00A40483">
      <w:pPr>
        <w:pStyle w:val="ListParagraph"/>
        <w:numPr>
          <w:ilvl w:val="0"/>
          <w:numId w:val="6"/>
        </w:numPr>
        <w:spacing w:after="0" w:line="240" w:lineRule="auto"/>
        <w:ind w:left="0" w:firstLine="720"/>
        <w:jc w:val="both"/>
        <w:rPr>
          <w:rFonts w:cs="Calibri"/>
          <w:b/>
          <w:u w:val="single"/>
        </w:rPr>
      </w:pPr>
      <w:r w:rsidRPr="00281828">
        <w:rPr>
          <w:rFonts w:cs="Calibri"/>
        </w:rPr>
        <w:t>Section 1005.107(</w:t>
      </w:r>
      <w:r w:rsidR="0083357B" w:rsidRPr="00281828">
        <w:rPr>
          <w:rFonts w:cs="Calibri"/>
        </w:rPr>
        <w:t>b</w:t>
      </w:r>
      <w:r w:rsidRPr="00281828">
        <w:rPr>
          <w:rFonts w:cs="Calibri"/>
        </w:rPr>
        <w:t>)(1)</w:t>
      </w:r>
      <w:r w:rsidR="00D34AB3" w:rsidRPr="00281828">
        <w:rPr>
          <w:rFonts w:cs="Calibri"/>
        </w:rPr>
        <w:t xml:space="preserve"> </w:t>
      </w:r>
      <w:r w:rsidR="0083357B" w:rsidRPr="00281828">
        <w:rPr>
          <w:rFonts w:cs="Calibri"/>
        </w:rPr>
        <w:t>provides that a form lease must be approved by both HUD and the Bureau of Indian Affairs (BIA).</w:t>
      </w:r>
      <w:r w:rsidR="00C46FB0" w:rsidRPr="00281828">
        <w:rPr>
          <w:rFonts w:cs="Calibri"/>
        </w:rPr>
        <w:t xml:space="preserve"> </w:t>
      </w:r>
    </w:p>
    <w:p w:rsidR="0083357B" w:rsidRPr="0083357B" w:rsidRDefault="0083357B" w:rsidP="0083357B">
      <w:pPr>
        <w:pStyle w:val="ListParagraph"/>
        <w:rPr>
          <w:rFonts w:cs="Calibri"/>
          <w:b/>
          <w:u w:val="single"/>
        </w:rPr>
      </w:pPr>
    </w:p>
    <w:p w:rsidR="0083357B" w:rsidRPr="0083357B" w:rsidRDefault="0083357B" w:rsidP="0083357B">
      <w:pPr>
        <w:pStyle w:val="ListParagraph"/>
        <w:numPr>
          <w:ilvl w:val="1"/>
          <w:numId w:val="6"/>
        </w:numPr>
        <w:spacing w:after="0" w:line="240" w:lineRule="auto"/>
        <w:ind w:left="0" w:firstLine="1440"/>
        <w:jc w:val="both"/>
        <w:rPr>
          <w:rFonts w:cs="Calibri"/>
          <w:b/>
          <w:u w:val="single"/>
        </w:rPr>
      </w:pPr>
      <w:r>
        <w:rPr>
          <w:rFonts w:cs="Calibri"/>
        </w:rPr>
        <w:t>If a</w:t>
      </w:r>
      <w:r w:rsidR="00281828">
        <w:rPr>
          <w:rFonts w:cs="Calibri"/>
        </w:rPr>
        <w:t>n Indian</w:t>
      </w:r>
      <w:r>
        <w:rPr>
          <w:rFonts w:cs="Calibri"/>
        </w:rPr>
        <w:t xml:space="preserve"> tribe has assumed lease approval under the HEARTH Act, the form lease may not be BIA approved.</w:t>
      </w:r>
    </w:p>
    <w:p w:rsidR="0083357B" w:rsidRPr="0083357B" w:rsidRDefault="0083357B" w:rsidP="0083357B">
      <w:pPr>
        <w:pStyle w:val="ListParagraph"/>
        <w:spacing w:after="0" w:line="240" w:lineRule="auto"/>
        <w:ind w:left="1440"/>
        <w:jc w:val="both"/>
        <w:rPr>
          <w:rFonts w:cs="Calibri"/>
          <w:b/>
          <w:u w:val="single"/>
        </w:rPr>
      </w:pPr>
    </w:p>
    <w:p w:rsidR="0083357B" w:rsidRPr="0083357B" w:rsidRDefault="0083357B" w:rsidP="0083357B">
      <w:pPr>
        <w:pStyle w:val="ListParagraph"/>
        <w:numPr>
          <w:ilvl w:val="1"/>
          <w:numId w:val="6"/>
        </w:numPr>
        <w:spacing w:after="0" w:line="240" w:lineRule="auto"/>
        <w:ind w:left="0" w:firstLine="1440"/>
        <w:jc w:val="both"/>
        <w:rPr>
          <w:rFonts w:cs="Calibri"/>
          <w:b/>
          <w:u w:val="single"/>
        </w:rPr>
      </w:pPr>
      <w:r>
        <w:rPr>
          <w:rFonts w:cs="Calibri"/>
        </w:rPr>
        <w:t>While a basic form lease might conceivably be approved by both BIA and HUD, minor alterations of the form should only have to be approved by the BIA.</w:t>
      </w:r>
    </w:p>
    <w:p w:rsidR="0083357B" w:rsidRPr="0083357B" w:rsidRDefault="0083357B" w:rsidP="0083357B">
      <w:pPr>
        <w:pStyle w:val="ListParagraph"/>
        <w:rPr>
          <w:rFonts w:cs="Calibri"/>
          <w:b/>
          <w:u w:val="single"/>
        </w:rPr>
      </w:pPr>
    </w:p>
    <w:p w:rsidR="0083357B" w:rsidRPr="002D24DA" w:rsidRDefault="006E123B" w:rsidP="006E123B">
      <w:pPr>
        <w:pStyle w:val="ListParagraph"/>
        <w:numPr>
          <w:ilvl w:val="0"/>
          <w:numId w:val="6"/>
        </w:numPr>
        <w:spacing w:after="0" w:line="240" w:lineRule="auto"/>
        <w:ind w:left="0" w:firstLine="720"/>
        <w:jc w:val="both"/>
        <w:rPr>
          <w:rFonts w:cs="Calibri"/>
          <w:b/>
          <w:u w:val="single"/>
        </w:rPr>
      </w:pPr>
      <w:r>
        <w:rPr>
          <w:rFonts w:cs="Calibri"/>
        </w:rPr>
        <w:t xml:space="preserve">Section 1005.107(b)(4) presupposes that a tribal court will have jurisdiction to hear foreclosures if </w:t>
      </w:r>
      <w:r w:rsidR="00281828">
        <w:rPr>
          <w:rFonts w:cs="Calibri"/>
        </w:rPr>
        <w:t>the Indian tribe</w:t>
      </w:r>
      <w:r>
        <w:rPr>
          <w:rFonts w:cs="Calibri"/>
        </w:rPr>
        <w:t xml:space="preserve"> ha</w:t>
      </w:r>
      <w:r w:rsidR="00281828">
        <w:rPr>
          <w:rFonts w:cs="Calibri"/>
        </w:rPr>
        <w:t>s</w:t>
      </w:r>
      <w:r>
        <w:rPr>
          <w:rFonts w:cs="Calibri"/>
        </w:rPr>
        <w:t xml:space="preserve"> adopted laws related to priority of obligations.  As stated above, this provision does not matter unless the USAs agree to litigate in tribal court or HUD agrees to hire private attorneys to process foreclosures.</w:t>
      </w:r>
    </w:p>
    <w:p w:rsidR="002D24DA" w:rsidRPr="006E123B" w:rsidRDefault="002D24DA" w:rsidP="002D24DA">
      <w:pPr>
        <w:pStyle w:val="ListParagraph"/>
        <w:spacing w:after="0" w:line="240" w:lineRule="auto"/>
        <w:jc w:val="both"/>
        <w:rPr>
          <w:rFonts w:cs="Calibri"/>
          <w:b/>
          <w:u w:val="single"/>
        </w:rPr>
      </w:pPr>
    </w:p>
    <w:p w:rsidR="006E123B" w:rsidRPr="009B1EE8" w:rsidRDefault="002D24DA" w:rsidP="006E123B">
      <w:pPr>
        <w:pStyle w:val="ListParagraph"/>
        <w:numPr>
          <w:ilvl w:val="0"/>
          <w:numId w:val="6"/>
        </w:numPr>
        <w:spacing w:after="0" w:line="240" w:lineRule="auto"/>
        <w:ind w:left="0" w:firstLine="720"/>
        <w:jc w:val="both"/>
        <w:rPr>
          <w:rFonts w:cs="Calibri"/>
          <w:b/>
          <w:u w:val="single"/>
        </w:rPr>
      </w:pPr>
      <w:r>
        <w:rPr>
          <w:rFonts w:cs="Calibri"/>
        </w:rPr>
        <w:t xml:space="preserve">Section </w:t>
      </w:r>
      <w:r w:rsidRPr="0046373D">
        <w:t>1715z-13a(</w:t>
      </w:r>
      <w:r>
        <w:t>j</w:t>
      </w:r>
      <w:r w:rsidRPr="0046373D">
        <w:t>)</w:t>
      </w:r>
      <w:r>
        <w:t xml:space="preserve"> of the </w:t>
      </w:r>
      <w:r w:rsidR="00DF650B">
        <w:t xml:space="preserve">Section 184 </w:t>
      </w:r>
      <w:r>
        <w:t>statute provides that “[t]he Secretary shall, by regulation, establish housing safety and quality standards under this section.</w:t>
      </w:r>
      <w:r w:rsidR="00DF650B">
        <w:t>”</w:t>
      </w:r>
      <w:r>
        <w:t xml:space="preserve">  Section 1005.111 merely provides that “</w:t>
      </w:r>
      <w:r w:rsidRPr="00FE7078">
        <w:rPr>
          <w:rFonts w:eastAsia="Times New Roman" w:cs="Helvetica"/>
          <w:b/>
          <w:color w:val="333333"/>
          <w:sz w:val="24"/>
          <w:szCs w:val="24"/>
          <w:lang w:val="en"/>
        </w:rPr>
        <w:t>Loans guaranteed under section 184 must be for dwelling units which meet the safety and quality standards set forth in section 184(j)</w:t>
      </w:r>
      <w:r w:rsidR="00FE7078">
        <w:rPr>
          <w:rFonts w:eastAsia="Times New Roman" w:cs="Helvetica"/>
          <w:color w:val="333333"/>
          <w:sz w:val="24"/>
          <w:szCs w:val="24"/>
          <w:lang w:val="en"/>
        </w:rPr>
        <w:t>”</w:t>
      </w:r>
      <w:r>
        <w:rPr>
          <w:rFonts w:eastAsia="Times New Roman" w:cs="Helvetica"/>
          <w:color w:val="333333"/>
          <w:sz w:val="24"/>
          <w:szCs w:val="24"/>
          <w:lang w:val="en"/>
        </w:rPr>
        <w:t xml:space="preserve"> </w:t>
      </w:r>
      <w:r w:rsidR="00DF650B">
        <w:rPr>
          <w:rFonts w:eastAsia="Times New Roman" w:cs="Helvetica"/>
          <w:color w:val="333333"/>
          <w:sz w:val="24"/>
          <w:szCs w:val="24"/>
          <w:lang w:val="en"/>
        </w:rPr>
        <w:t>(</w:t>
      </w:r>
      <w:r w:rsidR="00DF650B">
        <w:rPr>
          <w:rFonts w:eastAsia="Times New Roman" w:cs="Helvetica"/>
          <w:i/>
          <w:color w:val="333333"/>
          <w:sz w:val="24"/>
          <w:szCs w:val="24"/>
          <w:lang w:val="en"/>
        </w:rPr>
        <w:t>i.e.</w:t>
      </w:r>
      <w:r w:rsidR="00DF650B">
        <w:rPr>
          <w:rFonts w:eastAsia="Times New Roman" w:cs="Helvetica"/>
          <w:color w:val="333333"/>
          <w:sz w:val="24"/>
          <w:szCs w:val="24"/>
          <w:lang w:val="en"/>
        </w:rPr>
        <w:t xml:space="preserve">, </w:t>
      </w:r>
      <w:r w:rsidR="00005463">
        <w:rPr>
          <w:rFonts w:eastAsia="Times New Roman" w:cs="Helvetica"/>
          <w:color w:val="333333"/>
          <w:sz w:val="24"/>
          <w:szCs w:val="24"/>
          <w:lang w:val="en"/>
        </w:rPr>
        <w:t xml:space="preserve">12 USC </w:t>
      </w:r>
      <w:r>
        <w:rPr>
          <w:rFonts w:eastAsia="Times New Roman" w:cs="Helvetica"/>
          <w:color w:val="333333"/>
          <w:sz w:val="24"/>
          <w:szCs w:val="24"/>
          <w:lang w:val="en"/>
        </w:rPr>
        <w:t>§</w:t>
      </w:r>
      <w:r w:rsidR="00005463" w:rsidRPr="0046373D">
        <w:t>1715z-13a(</w:t>
      </w:r>
      <w:r w:rsidR="00005463">
        <w:t>j</w:t>
      </w:r>
      <w:r w:rsidR="00005463" w:rsidRPr="0046373D">
        <w:t>)</w:t>
      </w:r>
      <w:r w:rsidR="00DF650B">
        <w:t>)</w:t>
      </w:r>
      <w:r w:rsidR="00005463">
        <w:t xml:space="preserve">.  This is rather circulatory.  The </w:t>
      </w:r>
      <w:r w:rsidR="00DF650B">
        <w:t>regulatory provision</w:t>
      </w:r>
      <w:r w:rsidR="00005463">
        <w:t xml:space="preserve"> should be more specific about required standards.</w:t>
      </w:r>
    </w:p>
    <w:p w:rsidR="009B1EE8" w:rsidRPr="009B1EE8" w:rsidRDefault="009B1EE8" w:rsidP="009B1EE8">
      <w:pPr>
        <w:pStyle w:val="ListParagraph"/>
        <w:rPr>
          <w:rFonts w:cs="Calibri"/>
          <w:b/>
          <w:u w:val="single"/>
        </w:rPr>
      </w:pPr>
    </w:p>
    <w:p w:rsidR="009B1EE8" w:rsidRPr="000316D1" w:rsidRDefault="009B1EE8" w:rsidP="006E123B">
      <w:pPr>
        <w:pStyle w:val="ListParagraph"/>
        <w:numPr>
          <w:ilvl w:val="0"/>
          <w:numId w:val="6"/>
        </w:numPr>
        <w:spacing w:after="0" w:line="240" w:lineRule="auto"/>
        <w:ind w:left="0" w:firstLine="720"/>
        <w:jc w:val="both"/>
        <w:rPr>
          <w:rFonts w:cs="Calibri"/>
          <w:b/>
          <w:u w:val="single"/>
        </w:rPr>
      </w:pPr>
      <w:r>
        <w:rPr>
          <w:rFonts w:cs="Calibri"/>
        </w:rPr>
        <w:t xml:space="preserve">Section 1005.115 provides that </w:t>
      </w:r>
      <w:r w:rsidR="00F819B8">
        <w:rPr>
          <w:rFonts w:cs="Calibri"/>
        </w:rPr>
        <w:t xml:space="preserve">a determination of eligibility for housing shall be made without regard to actual or perceived sexual orientation, gender identity, or marital status.  It is, once more, important to point out that for </w:t>
      </w:r>
      <w:r w:rsidR="00FE7078">
        <w:rPr>
          <w:rFonts w:cs="Calibri"/>
        </w:rPr>
        <w:t xml:space="preserve">Indian </w:t>
      </w:r>
      <w:r w:rsidR="00F819B8">
        <w:rPr>
          <w:rFonts w:cs="Calibri"/>
        </w:rPr>
        <w:t xml:space="preserve">many tribes, especially those located in New Mexico, marital status remains important in relation to occupancy.  In fact, many tribes still adhere to the federal code of Indian offenses that make cohabitation of a man and a woman without the benefit of </w:t>
      </w:r>
      <w:r w:rsidR="00595BC2">
        <w:rPr>
          <w:rFonts w:cs="Calibri"/>
        </w:rPr>
        <w:t xml:space="preserve">a legal marriage a crime.  This provision should be adjusted to allow for the application of traditional rules related to </w:t>
      </w:r>
      <w:r w:rsidR="00FE7078">
        <w:rPr>
          <w:rFonts w:cs="Calibri"/>
        </w:rPr>
        <w:t xml:space="preserve">the </w:t>
      </w:r>
      <w:r w:rsidR="00595BC2">
        <w:rPr>
          <w:rFonts w:cs="Calibri"/>
        </w:rPr>
        <w:t xml:space="preserve">use of real property.  </w:t>
      </w:r>
    </w:p>
    <w:p w:rsidR="000316D1" w:rsidRPr="000316D1" w:rsidRDefault="000316D1" w:rsidP="000316D1">
      <w:pPr>
        <w:pStyle w:val="ListParagraph"/>
        <w:rPr>
          <w:rFonts w:cs="Calibri"/>
          <w:b/>
          <w:u w:val="single"/>
        </w:rPr>
      </w:pPr>
    </w:p>
    <w:p w:rsidR="000316D1" w:rsidRPr="00B468C6" w:rsidRDefault="000316D1" w:rsidP="006E123B">
      <w:pPr>
        <w:pStyle w:val="ListParagraph"/>
        <w:numPr>
          <w:ilvl w:val="0"/>
          <w:numId w:val="6"/>
        </w:numPr>
        <w:spacing w:after="0" w:line="240" w:lineRule="auto"/>
        <w:ind w:left="0" w:firstLine="720"/>
        <w:jc w:val="both"/>
        <w:rPr>
          <w:rFonts w:cs="Calibri"/>
          <w:b/>
          <w:u w:val="single"/>
        </w:rPr>
      </w:pPr>
      <w:r>
        <w:rPr>
          <w:rFonts w:cs="Calibri"/>
        </w:rPr>
        <w:t>Section 1005.120 provides that 184 guaranteed mortgages are safe harbor qualified mortgages and must meet the ability-to-repay requirements contained in 15 USC §1639c(a), which requirements prohibit mortgage arbitration clauses and balloon payments.  For the financial institutions</w:t>
      </w:r>
      <w:r w:rsidR="00FE7078">
        <w:rPr>
          <w:rFonts w:cs="Calibri"/>
        </w:rPr>
        <w:t>’</w:t>
      </w:r>
      <w:r>
        <w:rPr>
          <w:rFonts w:cs="Calibri"/>
        </w:rPr>
        <w:t xml:space="preserve"> sake and for the protection of mortgagees under </w:t>
      </w:r>
      <w:r w:rsidR="00D51A20">
        <w:rPr>
          <w:rFonts w:cs="Calibri"/>
        </w:rPr>
        <w:t>Section</w:t>
      </w:r>
      <w:r>
        <w:rPr>
          <w:rFonts w:cs="Calibri"/>
        </w:rPr>
        <w:t xml:space="preserve"> 184, the regulations should specifically include these restrictions. </w:t>
      </w:r>
    </w:p>
    <w:p w:rsidR="006B472B" w:rsidRDefault="006B472B" w:rsidP="00F07D2F">
      <w:pPr>
        <w:tabs>
          <w:tab w:val="left" w:pos="0"/>
          <w:tab w:val="left" w:pos="720"/>
          <w:tab w:val="left" w:pos="1440"/>
        </w:tabs>
        <w:spacing w:after="0" w:line="240" w:lineRule="auto"/>
        <w:jc w:val="center"/>
        <w:rPr>
          <w:rFonts w:cs="Calibri"/>
          <w:b/>
          <w:u w:val="single"/>
        </w:rPr>
      </w:pPr>
    </w:p>
    <w:p w:rsidR="004333D6" w:rsidRPr="0046373D" w:rsidRDefault="004333D6" w:rsidP="00F07D2F">
      <w:pPr>
        <w:tabs>
          <w:tab w:val="left" w:pos="0"/>
          <w:tab w:val="left" w:pos="720"/>
          <w:tab w:val="left" w:pos="1440"/>
        </w:tabs>
        <w:spacing w:after="0" w:line="240" w:lineRule="auto"/>
        <w:jc w:val="center"/>
        <w:rPr>
          <w:rFonts w:cs="Calibri"/>
          <w:b/>
        </w:rPr>
      </w:pPr>
      <w:r w:rsidRPr="0046373D">
        <w:rPr>
          <w:rFonts w:cs="Calibri"/>
          <w:b/>
          <w:u w:val="single"/>
        </w:rPr>
        <w:t>CONCLUSION</w:t>
      </w:r>
    </w:p>
    <w:p w:rsidR="00F07D2F" w:rsidRPr="0046373D" w:rsidRDefault="00F07D2F" w:rsidP="00F07D2F">
      <w:pPr>
        <w:widowControl w:val="0"/>
        <w:autoSpaceDE w:val="0"/>
        <w:autoSpaceDN w:val="0"/>
        <w:adjustRightInd w:val="0"/>
        <w:spacing w:after="0" w:line="240" w:lineRule="auto"/>
        <w:ind w:firstLine="720"/>
        <w:jc w:val="both"/>
        <w:rPr>
          <w:rFonts w:eastAsia="Calibri" w:cs="Times New Roman"/>
          <w:b/>
          <w:u w:val="single"/>
        </w:rPr>
      </w:pPr>
    </w:p>
    <w:p w:rsidR="00F07D2F" w:rsidRPr="0046373D" w:rsidRDefault="00F07D2F" w:rsidP="00F07D2F">
      <w:pPr>
        <w:widowControl w:val="0"/>
        <w:autoSpaceDE w:val="0"/>
        <w:autoSpaceDN w:val="0"/>
        <w:adjustRightInd w:val="0"/>
        <w:spacing w:after="0" w:line="240" w:lineRule="auto"/>
        <w:ind w:firstLine="720"/>
        <w:jc w:val="both"/>
        <w:rPr>
          <w:rFonts w:eastAsiaTheme="minorEastAsia" w:cs="Times New Roman"/>
        </w:rPr>
      </w:pPr>
      <w:r w:rsidRPr="0046373D">
        <w:rPr>
          <w:rFonts w:eastAsiaTheme="minorEastAsia" w:cs="Times New Roman"/>
        </w:rPr>
        <w:t xml:space="preserve">In summary, </w:t>
      </w:r>
      <w:r w:rsidR="00DC7F21">
        <w:rPr>
          <w:rFonts w:eastAsiaTheme="minorEastAsia" w:cs="Times New Roman"/>
        </w:rPr>
        <w:t>[SHORT NAME]</w:t>
      </w:r>
      <w:r w:rsidRPr="0046373D">
        <w:rPr>
          <w:rFonts w:eastAsiaTheme="minorEastAsia" w:cs="Times New Roman"/>
        </w:rPr>
        <w:t xml:space="preserve"> is pleased to provide the aforementioned comments and </w:t>
      </w:r>
      <w:r w:rsidRPr="0046373D">
        <w:rPr>
          <w:rFonts w:eastAsiaTheme="minorEastAsia" w:cs="Times New Roman"/>
        </w:rPr>
        <w:lastRenderedPageBreak/>
        <w:t>recommendations concerning proposed changes to the Section 184 regulations.</w:t>
      </w:r>
    </w:p>
    <w:p w:rsidR="00316FC4" w:rsidRPr="0046373D" w:rsidRDefault="001C4755" w:rsidP="00650CE6">
      <w:pPr>
        <w:spacing w:after="0" w:line="240" w:lineRule="auto"/>
        <w:jc w:val="both"/>
      </w:pPr>
      <w:r w:rsidRPr="0046373D">
        <w:rPr>
          <w:rFonts w:cs="Calibri"/>
        </w:rPr>
        <w:t xml:space="preserve">   </w:t>
      </w:r>
    </w:p>
    <w:p w:rsidR="00AD1002" w:rsidRPr="0046373D" w:rsidRDefault="00AD1002" w:rsidP="00650CE6">
      <w:pPr>
        <w:spacing w:after="0" w:line="240" w:lineRule="auto"/>
        <w:jc w:val="both"/>
      </w:pPr>
      <w:r w:rsidRPr="0046373D">
        <w:tab/>
      </w:r>
      <w:r w:rsidRPr="0046373D">
        <w:tab/>
      </w:r>
      <w:r w:rsidRPr="0046373D">
        <w:tab/>
      </w:r>
      <w:r w:rsidRPr="0046373D">
        <w:tab/>
      </w:r>
      <w:r w:rsidR="008107CD" w:rsidRPr="0046373D">
        <w:tab/>
      </w:r>
      <w:r w:rsidRPr="0046373D">
        <w:t>Sincerely,</w:t>
      </w:r>
    </w:p>
    <w:p w:rsidR="00AD1002" w:rsidRPr="0046373D" w:rsidRDefault="00AD1002" w:rsidP="00650CE6">
      <w:pPr>
        <w:spacing w:after="0" w:line="240" w:lineRule="auto"/>
        <w:jc w:val="both"/>
      </w:pPr>
    </w:p>
    <w:p w:rsidR="00AD1002" w:rsidRPr="00567DED" w:rsidRDefault="00567DED" w:rsidP="005B2879">
      <w:pPr>
        <w:spacing w:after="0" w:line="240" w:lineRule="auto"/>
        <w:ind w:left="3600"/>
        <w:jc w:val="both"/>
        <w:rPr>
          <w:b/>
          <w:caps/>
        </w:rPr>
      </w:pPr>
      <w:r>
        <w:rPr>
          <w:b/>
          <w:caps/>
        </w:rPr>
        <w:t>[name of entity]</w:t>
      </w:r>
    </w:p>
    <w:p w:rsidR="005B2879" w:rsidRPr="0046373D" w:rsidRDefault="005B2879" w:rsidP="005B2879">
      <w:pPr>
        <w:spacing w:after="0" w:line="240" w:lineRule="auto"/>
        <w:ind w:left="3600"/>
        <w:jc w:val="both"/>
        <w:rPr>
          <w:caps/>
        </w:rPr>
      </w:pPr>
    </w:p>
    <w:p w:rsidR="00AD1002" w:rsidRPr="0046373D" w:rsidRDefault="00AD1002" w:rsidP="00650CE6">
      <w:pPr>
        <w:spacing w:after="0" w:line="240" w:lineRule="auto"/>
        <w:jc w:val="both"/>
      </w:pPr>
    </w:p>
    <w:p w:rsidR="00AD1002" w:rsidRPr="0046373D" w:rsidRDefault="00AD1002" w:rsidP="00650CE6">
      <w:pPr>
        <w:spacing w:after="0" w:line="240" w:lineRule="auto"/>
        <w:jc w:val="both"/>
      </w:pPr>
      <w:r w:rsidRPr="0046373D">
        <w:tab/>
      </w:r>
      <w:r w:rsidRPr="0046373D">
        <w:tab/>
      </w:r>
      <w:r w:rsidRPr="0046373D">
        <w:tab/>
      </w:r>
      <w:r w:rsidRPr="0046373D">
        <w:tab/>
      </w:r>
      <w:r w:rsidRPr="0046373D">
        <w:tab/>
        <w:t>By:</w:t>
      </w:r>
      <w:r w:rsidR="008107CD" w:rsidRPr="0046373D">
        <w:t xml:space="preserve">  </w:t>
      </w:r>
      <w:r w:rsidR="008107CD" w:rsidRPr="0046373D">
        <w:rPr>
          <w:u w:val="single"/>
        </w:rPr>
        <w:tab/>
      </w:r>
      <w:r w:rsidR="008107CD" w:rsidRPr="0046373D">
        <w:rPr>
          <w:u w:val="single"/>
        </w:rPr>
        <w:tab/>
      </w:r>
      <w:r w:rsidR="008107CD" w:rsidRPr="0046373D">
        <w:rPr>
          <w:u w:val="single"/>
        </w:rPr>
        <w:tab/>
      </w:r>
      <w:r w:rsidR="008107CD" w:rsidRPr="0046373D">
        <w:rPr>
          <w:u w:val="single"/>
        </w:rPr>
        <w:tab/>
      </w:r>
      <w:r w:rsidR="008107CD" w:rsidRPr="0046373D">
        <w:rPr>
          <w:u w:val="single"/>
        </w:rPr>
        <w:tab/>
      </w:r>
      <w:r w:rsidR="008107CD" w:rsidRPr="0046373D">
        <w:rPr>
          <w:u w:val="single"/>
        </w:rPr>
        <w:tab/>
      </w:r>
      <w:r w:rsidRPr="0046373D">
        <w:rPr>
          <w:u w:val="single"/>
        </w:rPr>
        <w:t xml:space="preserve"> </w:t>
      </w:r>
    </w:p>
    <w:p w:rsidR="00AD1002" w:rsidRPr="0046373D" w:rsidRDefault="00AD1002" w:rsidP="00650CE6">
      <w:pPr>
        <w:spacing w:after="0" w:line="240" w:lineRule="auto"/>
        <w:jc w:val="both"/>
      </w:pPr>
      <w:r w:rsidRPr="0046373D">
        <w:tab/>
      </w:r>
      <w:r w:rsidRPr="0046373D">
        <w:tab/>
      </w:r>
      <w:r w:rsidRPr="0046373D">
        <w:tab/>
      </w:r>
      <w:r w:rsidRPr="0046373D">
        <w:tab/>
      </w:r>
      <w:r w:rsidRPr="0046373D">
        <w:tab/>
        <w:t xml:space="preserve">       </w:t>
      </w:r>
      <w:r w:rsidR="005B2879" w:rsidRPr="0046373D">
        <w:t xml:space="preserve"> </w:t>
      </w:r>
      <w:r w:rsidR="00DC7F21">
        <w:rPr>
          <w:b/>
        </w:rPr>
        <w:t>[NAME]</w:t>
      </w:r>
      <w:r w:rsidR="005B2879" w:rsidRPr="0046373D">
        <w:t xml:space="preserve">, </w:t>
      </w:r>
      <w:r w:rsidR="00DC7F21">
        <w:rPr>
          <w:b/>
        </w:rPr>
        <w:t>[TITLE]</w:t>
      </w:r>
    </w:p>
    <w:p w:rsidR="00856FDC" w:rsidRPr="0046373D" w:rsidRDefault="00856FDC" w:rsidP="00650CE6">
      <w:pPr>
        <w:spacing w:after="0" w:line="240" w:lineRule="auto"/>
        <w:ind w:firstLine="720"/>
        <w:jc w:val="both"/>
      </w:pPr>
    </w:p>
    <w:sectPr w:rsidR="00856FDC" w:rsidRPr="0046373D" w:rsidSect="003C1E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17" w:rsidRDefault="00FC5817" w:rsidP="00C965FA">
      <w:pPr>
        <w:spacing w:after="0" w:line="240" w:lineRule="auto"/>
      </w:pPr>
      <w:r>
        <w:separator/>
      </w:r>
    </w:p>
  </w:endnote>
  <w:endnote w:type="continuationSeparator" w:id="0">
    <w:p w:rsidR="00FC5817" w:rsidRDefault="00FC5817" w:rsidP="00C9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146922"/>
      <w:docPartObj>
        <w:docPartGallery w:val="Page Numbers (Bottom of Page)"/>
        <w:docPartUnique/>
      </w:docPartObj>
    </w:sdtPr>
    <w:sdtEndPr/>
    <w:sdtContent>
      <w:p w:rsidR="001E1883" w:rsidRDefault="004455D1">
        <w:pPr>
          <w:pStyle w:val="Footer"/>
          <w:jc w:val="center"/>
        </w:pPr>
        <w:r>
          <w:fldChar w:fldCharType="begin"/>
        </w:r>
        <w:r>
          <w:instrText xml:space="preserve"> PAGE   \* MERGEFORMAT </w:instrText>
        </w:r>
        <w:r>
          <w:fldChar w:fldCharType="separate"/>
        </w:r>
        <w:r w:rsidR="00617EC5">
          <w:rPr>
            <w:noProof/>
          </w:rPr>
          <w:t>7</w:t>
        </w:r>
        <w:r>
          <w:rPr>
            <w:noProof/>
          </w:rPr>
          <w:fldChar w:fldCharType="end"/>
        </w:r>
      </w:p>
    </w:sdtContent>
  </w:sdt>
  <w:p w:rsidR="001E1883" w:rsidRDefault="001E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17" w:rsidRDefault="00FC5817" w:rsidP="00C965FA">
      <w:pPr>
        <w:spacing w:after="0" w:line="240" w:lineRule="auto"/>
      </w:pPr>
      <w:r>
        <w:separator/>
      </w:r>
    </w:p>
  </w:footnote>
  <w:footnote w:type="continuationSeparator" w:id="0">
    <w:p w:rsidR="00FC5817" w:rsidRDefault="00FC5817" w:rsidP="00C965FA">
      <w:pPr>
        <w:spacing w:after="0" w:line="240" w:lineRule="auto"/>
      </w:pPr>
      <w:r>
        <w:continuationSeparator/>
      </w:r>
    </w:p>
  </w:footnote>
  <w:footnote w:id="1">
    <w:p w:rsidR="00BB3F21" w:rsidRDefault="00BB3F21" w:rsidP="00BB3F21">
      <w:pPr>
        <w:pStyle w:val="FootnoteText"/>
      </w:pPr>
      <w:r w:rsidRPr="00997466">
        <w:rPr>
          <w:rStyle w:val="FootnoteReference"/>
        </w:rPr>
        <w:footnoteRef/>
      </w:r>
      <w:r>
        <w:t xml:space="preserve"> 24 C.F.R. §1000.9(a).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011FA"/>
    <w:multiLevelType w:val="hybridMultilevel"/>
    <w:tmpl w:val="F80441A0"/>
    <w:lvl w:ilvl="0" w:tplc="4538D0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ED6ABE"/>
    <w:multiLevelType w:val="hybridMultilevel"/>
    <w:tmpl w:val="02A0EB70"/>
    <w:lvl w:ilvl="0" w:tplc="CE029F7A">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A3B784E"/>
    <w:multiLevelType w:val="hybridMultilevel"/>
    <w:tmpl w:val="5FE2FDF6"/>
    <w:lvl w:ilvl="0" w:tplc="16D693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0C6830"/>
    <w:multiLevelType w:val="hybridMultilevel"/>
    <w:tmpl w:val="B1767068"/>
    <w:lvl w:ilvl="0" w:tplc="85EC55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207E9"/>
    <w:multiLevelType w:val="hybridMultilevel"/>
    <w:tmpl w:val="75884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CB2CDA"/>
    <w:multiLevelType w:val="hybridMultilevel"/>
    <w:tmpl w:val="63505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D2"/>
    <w:rsid w:val="00005463"/>
    <w:rsid w:val="000107ED"/>
    <w:rsid w:val="00010ADC"/>
    <w:rsid w:val="000316D1"/>
    <w:rsid w:val="000359EC"/>
    <w:rsid w:val="00040809"/>
    <w:rsid w:val="00043DE5"/>
    <w:rsid w:val="0005489B"/>
    <w:rsid w:val="0007740C"/>
    <w:rsid w:val="00097159"/>
    <w:rsid w:val="000A4652"/>
    <w:rsid w:val="000B4DAD"/>
    <w:rsid w:val="000C4390"/>
    <w:rsid w:val="000D0709"/>
    <w:rsid w:val="000D53B2"/>
    <w:rsid w:val="000D60C3"/>
    <w:rsid w:val="000E136E"/>
    <w:rsid w:val="00101BB3"/>
    <w:rsid w:val="00117233"/>
    <w:rsid w:val="00123664"/>
    <w:rsid w:val="00133338"/>
    <w:rsid w:val="00146EA9"/>
    <w:rsid w:val="00163E02"/>
    <w:rsid w:val="001648DB"/>
    <w:rsid w:val="0018540D"/>
    <w:rsid w:val="001A1BC3"/>
    <w:rsid w:val="001A2305"/>
    <w:rsid w:val="001A2A15"/>
    <w:rsid w:val="001A7AD5"/>
    <w:rsid w:val="001B05C4"/>
    <w:rsid w:val="001C314F"/>
    <w:rsid w:val="001C4755"/>
    <w:rsid w:val="001C5F35"/>
    <w:rsid w:val="001C6870"/>
    <w:rsid w:val="001D4238"/>
    <w:rsid w:val="001E0F7C"/>
    <w:rsid w:val="001E1883"/>
    <w:rsid w:val="001F5B01"/>
    <w:rsid w:val="00200850"/>
    <w:rsid w:val="00216CBA"/>
    <w:rsid w:val="002178C5"/>
    <w:rsid w:val="00235D21"/>
    <w:rsid w:val="00236B9A"/>
    <w:rsid w:val="00237EAD"/>
    <w:rsid w:val="002405F9"/>
    <w:rsid w:val="00246AFE"/>
    <w:rsid w:val="00251EC4"/>
    <w:rsid w:val="002557AF"/>
    <w:rsid w:val="00260E27"/>
    <w:rsid w:val="002714FA"/>
    <w:rsid w:val="002733AD"/>
    <w:rsid w:val="00274A9F"/>
    <w:rsid w:val="002803A1"/>
    <w:rsid w:val="00280A88"/>
    <w:rsid w:val="00281828"/>
    <w:rsid w:val="00290010"/>
    <w:rsid w:val="00291076"/>
    <w:rsid w:val="00295183"/>
    <w:rsid w:val="0029557C"/>
    <w:rsid w:val="002A4751"/>
    <w:rsid w:val="002C7D5C"/>
    <w:rsid w:val="002D16C5"/>
    <w:rsid w:val="002D24DA"/>
    <w:rsid w:val="002E0E8D"/>
    <w:rsid w:val="002E188F"/>
    <w:rsid w:val="002E530D"/>
    <w:rsid w:val="002E651C"/>
    <w:rsid w:val="002F437E"/>
    <w:rsid w:val="00302396"/>
    <w:rsid w:val="003047BE"/>
    <w:rsid w:val="00310099"/>
    <w:rsid w:val="00316FC4"/>
    <w:rsid w:val="003364F8"/>
    <w:rsid w:val="00374D1C"/>
    <w:rsid w:val="003753CA"/>
    <w:rsid w:val="003870F2"/>
    <w:rsid w:val="00391F44"/>
    <w:rsid w:val="00395711"/>
    <w:rsid w:val="003C1EAC"/>
    <w:rsid w:val="003C2399"/>
    <w:rsid w:val="003F3EC1"/>
    <w:rsid w:val="004333D6"/>
    <w:rsid w:val="004402C3"/>
    <w:rsid w:val="004455D1"/>
    <w:rsid w:val="0046373D"/>
    <w:rsid w:val="004658DC"/>
    <w:rsid w:val="00472B26"/>
    <w:rsid w:val="00474658"/>
    <w:rsid w:val="00476991"/>
    <w:rsid w:val="00476E7D"/>
    <w:rsid w:val="00487105"/>
    <w:rsid w:val="00491FF5"/>
    <w:rsid w:val="004943D1"/>
    <w:rsid w:val="00494B63"/>
    <w:rsid w:val="004A090B"/>
    <w:rsid w:val="004B77E7"/>
    <w:rsid w:val="004C01AA"/>
    <w:rsid w:val="004F2931"/>
    <w:rsid w:val="004F557B"/>
    <w:rsid w:val="00511C2D"/>
    <w:rsid w:val="00521C22"/>
    <w:rsid w:val="00523768"/>
    <w:rsid w:val="00567DED"/>
    <w:rsid w:val="00595BC2"/>
    <w:rsid w:val="005A2155"/>
    <w:rsid w:val="005A6743"/>
    <w:rsid w:val="005B2879"/>
    <w:rsid w:val="005B2BD0"/>
    <w:rsid w:val="005E1038"/>
    <w:rsid w:val="005F0573"/>
    <w:rsid w:val="005F2521"/>
    <w:rsid w:val="005F2743"/>
    <w:rsid w:val="005F6B42"/>
    <w:rsid w:val="006101F3"/>
    <w:rsid w:val="0061738E"/>
    <w:rsid w:val="00617EC5"/>
    <w:rsid w:val="00640F5B"/>
    <w:rsid w:val="00642CE7"/>
    <w:rsid w:val="00650CE6"/>
    <w:rsid w:val="0065163A"/>
    <w:rsid w:val="00654EA1"/>
    <w:rsid w:val="00664D6B"/>
    <w:rsid w:val="00681974"/>
    <w:rsid w:val="00684475"/>
    <w:rsid w:val="006902FF"/>
    <w:rsid w:val="00693923"/>
    <w:rsid w:val="006A0443"/>
    <w:rsid w:val="006A20B7"/>
    <w:rsid w:val="006A4EC2"/>
    <w:rsid w:val="006B472B"/>
    <w:rsid w:val="006D389D"/>
    <w:rsid w:val="006D4DF3"/>
    <w:rsid w:val="006E123B"/>
    <w:rsid w:val="006F3A47"/>
    <w:rsid w:val="007313F1"/>
    <w:rsid w:val="00747298"/>
    <w:rsid w:val="00762299"/>
    <w:rsid w:val="007641FC"/>
    <w:rsid w:val="00765133"/>
    <w:rsid w:val="00792A95"/>
    <w:rsid w:val="007C44A2"/>
    <w:rsid w:val="007D196B"/>
    <w:rsid w:val="008005A5"/>
    <w:rsid w:val="008107CD"/>
    <w:rsid w:val="00811F15"/>
    <w:rsid w:val="00816E37"/>
    <w:rsid w:val="008261A3"/>
    <w:rsid w:val="00826C82"/>
    <w:rsid w:val="0083357B"/>
    <w:rsid w:val="008346D7"/>
    <w:rsid w:val="008548A5"/>
    <w:rsid w:val="008549E7"/>
    <w:rsid w:val="00855F22"/>
    <w:rsid w:val="00856FDC"/>
    <w:rsid w:val="0086445C"/>
    <w:rsid w:val="00865E19"/>
    <w:rsid w:val="008713BE"/>
    <w:rsid w:val="008867A1"/>
    <w:rsid w:val="0089724D"/>
    <w:rsid w:val="008A29A9"/>
    <w:rsid w:val="008A5FB3"/>
    <w:rsid w:val="008E420A"/>
    <w:rsid w:val="008E5BD8"/>
    <w:rsid w:val="008E6166"/>
    <w:rsid w:val="008F0782"/>
    <w:rsid w:val="008F2308"/>
    <w:rsid w:val="00903FE1"/>
    <w:rsid w:val="009069BE"/>
    <w:rsid w:val="009112B9"/>
    <w:rsid w:val="00925706"/>
    <w:rsid w:val="00945D57"/>
    <w:rsid w:val="009657BA"/>
    <w:rsid w:val="00975882"/>
    <w:rsid w:val="009874C7"/>
    <w:rsid w:val="00991CAD"/>
    <w:rsid w:val="009A48F8"/>
    <w:rsid w:val="009B1EE8"/>
    <w:rsid w:val="009B7199"/>
    <w:rsid w:val="009D551D"/>
    <w:rsid w:val="009D614F"/>
    <w:rsid w:val="00A01868"/>
    <w:rsid w:val="00A21BD1"/>
    <w:rsid w:val="00A255DA"/>
    <w:rsid w:val="00A42444"/>
    <w:rsid w:val="00A54E35"/>
    <w:rsid w:val="00A76682"/>
    <w:rsid w:val="00A80A16"/>
    <w:rsid w:val="00A82CA6"/>
    <w:rsid w:val="00A92E67"/>
    <w:rsid w:val="00A94D76"/>
    <w:rsid w:val="00AA38BA"/>
    <w:rsid w:val="00AC374A"/>
    <w:rsid w:val="00AD1002"/>
    <w:rsid w:val="00AD417B"/>
    <w:rsid w:val="00AD4F51"/>
    <w:rsid w:val="00AF45F3"/>
    <w:rsid w:val="00B03897"/>
    <w:rsid w:val="00B03B67"/>
    <w:rsid w:val="00B04136"/>
    <w:rsid w:val="00B13A29"/>
    <w:rsid w:val="00B179E6"/>
    <w:rsid w:val="00B17FD2"/>
    <w:rsid w:val="00B254CB"/>
    <w:rsid w:val="00B41E82"/>
    <w:rsid w:val="00B4353B"/>
    <w:rsid w:val="00B468C6"/>
    <w:rsid w:val="00B605D2"/>
    <w:rsid w:val="00B72A5A"/>
    <w:rsid w:val="00B762E2"/>
    <w:rsid w:val="00B822A9"/>
    <w:rsid w:val="00B87AB7"/>
    <w:rsid w:val="00B9235C"/>
    <w:rsid w:val="00BB2E43"/>
    <w:rsid w:val="00BB3F21"/>
    <w:rsid w:val="00BB4834"/>
    <w:rsid w:val="00BB755C"/>
    <w:rsid w:val="00BB75FD"/>
    <w:rsid w:val="00BD48F9"/>
    <w:rsid w:val="00BE5F83"/>
    <w:rsid w:val="00BF03F7"/>
    <w:rsid w:val="00BF0ADE"/>
    <w:rsid w:val="00BF6082"/>
    <w:rsid w:val="00C042E2"/>
    <w:rsid w:val="00C05ACF"/>
    <w:rsid w:val="00C16BF3"/>
    <w:rsid w:val="00C30047"/>
    <w:rsid w:val="00C4165F"/>
    <w:rsid w:val="00C42F47"/>
    <w:rsid w:val="00C46FB0"/>
    <w:rsid w:val="00C5157B"/>
    <w:rsid w:val="00C522BB"/>
    <w:rsid w:val="00C64076"/>
    <w:rsid w:val="00C65120"/>
    <w:rsid w:val="00C7216B"/>
    <w:rsid w:val="00C72A45"/>
    <w:rsid w:val="00C75C4A"/>
    <w:rsid w:val="00C80582"/>
    <w:rsid w:val="00C819DF"/>
    <w:rsid w:val="00C83303"/>
    <w:rsid w:val="00C965FA"/>
    <w:rsid w:val="00CA3BB5"/>
    <w:rsid w:val="00CB5B6B"/>
    <w:rsid w:val="00CC3259"/>
    <w:rsid w:val="00CC527C"/>
    <w:rsid w:val="00CD1ACB"/>
    <w:rsid w:val="00CE2720"/>
    <w:rsid w:val="00CE2A5C"/>
    <w:rsid w:val="00CE2B9C"/>
    <w:rsid w:val="00D04FD6"/>
    <w:rsid w:val="00D153D6"/>
    <w:rsid w:val="00D24DA5"/>
    <w:rsid w:val="00D251E2"/>
    <w:rsid w:val="00D25BB1"/>
    <w:rsid w:val="00D34AB3"/>
    <w:rsid w:val="00D41769"/>
    <w:rsid w:val="00D51A20"/>
    <w:rsid w:val="00D678FB"/>
    <w:rsid w:val="00D74D24"/>
    <w:rsid w:val="00D8250E"/>
    <w:rsid w:val="00D8777B"/>
    <w:rsid w:val="00D945EA"/>
    <w:rsid w:val="00DC7F21"/>
    <w:rsid w:val="00DF650B"/>
    <w:rsid w:val="00E1117C"/>
    <w:rsid w:val="00E24A6A"/>
    <w:rsid w:val="00E36DC5"/>
    <w:rsid w:val="00E40F74"/>
    <w:rsid w:val="00E4518A"/>
    <w:rsid w:val="00E60ECF"/>
    <w:rsid w:val="00E6571D"/>
    <w:rsid w:val="00E67B70"/>
    <w:rsid w:val="00E765BC"/>
    <w:rsid w:val="00EB29B6"/>
    <w:rsid w:val="00EB71C9"/>
    <w:rsid w:val="00ED280F"/>
    <w:rsid w:val="00F07D2F"/>
    <w:rsid w:val="00F13674"/>
    <w:rsid w:val="00F21488"/>
    <w:rsid w:val="00F308A0"/>
    <w:rsid w:val="00F40ABB"/>
    <w:rsid w:val="00F41F37"/>
    <w:rsid w:val="00F55848"/>
    <w:rsid w:val="00F7446C"/>
    <w:rsid w:val="00F80BA7"/>
    <w:rsid w:val="00F819B8"/>
    <w:rsid w:val="00F86B5E"/>
    <w:rsid w:val="00FB197C"/>
    <w:rsid w:val="00FB7381"/>
    <w:rsid w:val="00FC4B4E"/>
    <w:rsid w:val="00FC5817"/>
    <w:rsid w:val="00FC5E89"/>
    <w:rsid w:val="00FC69D2"/>
    <w:rsid w:val="00FD3A07"/>
    <w:rsid w:val="00FE1EFE"/>
    <w:rsid w:val="00FE7078"/>
    <w:rsid w:val="00FF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896A3-7B1E-4A43-B2EA-61A4EDE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02"/>
    <w:rPr>
      <w:rFonts w:ascii="Tahoma" w:hAnsi="Tahoma" w:cs="Tahoma"/>
      <w:sz w:val="16"/>
      <w:szCs w:val="16"/>
    </w:rPr>
  </w:style>
  <w:style w:type="character" w:styleId="Hyperlink">
    <w:name w:val="Hyperlink"/>
    <w:basedOn w:val="DefaultParagraphFont"/>
    <w:uiPriority w:val="99"/>
    <w:semiHidden/>
    <w:unhideWhenUsed/>
    <w:rsid w:val="00D945EA"/>
    <w:rPr>
      <w:strike w:val="0"/>
      <w:dstrike w:val="0"/>
      <w:color w:val="000000"/>
      <w:u w:val="none"/>
      <w:effect w:val="none"/>
    </w:rPr>
  </w:style>
  <w:style w:type="paragraph" w:styleId="ListParagraph">
    <w:name w:val="List Paragraph"/>
    <w:basedOn w:val="Normal"/>
    <w:uiPriority w:val="34"/>
    <w:qFormat/>
    <w:rsid w:val="005F0573"/>
    <w:pPr>
      <w:ind w:left="720"/>
      <w:contextualSpacing/>
    </w:pPr>
  </w:style>
  <w:style w:type="paragraph" w:styleId="Header">
    <w:name w:val="header"/>
    <w:basedOn w:val="Normal"/>
    <w:link w:val="HeaderChar"/>
    <w:uiPriority w:val="99"/>
    <w:semiHidden/>
    <w:unhideWhenUsed/>
    <w:rsid w:val="00C96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5FA"/>
  </w:style>
  <w:style w:type="paragraph" w:styleId="Footer">
    <w:name w:val="footer"/>
    <w:basedOn w:val="Normal"/>
    <w:link w:val="FooterChar"/>
    <w:uiPriority w:val="99"/>
    <w:unhideWhenUsed/>
    <w:rsid w:val="00C96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FA"/>
  </w:style>
  <w:style w:type="paragraph" w:styleId="FootnoteText">
    <w:name w:val="footnote text"/>
    <w:basedOn w:val="Normal"/>
    <w:link w:val="FootnoteTextChar"/>
    <w:uiPriority w:val="99"/>
    <w:semiHidden/>
    <w:unhideWhenUsed/>
    <w:rsid w:val="00274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A9F"/>
    <w:rPr>
      <w:sz w:val="20"/>
      <w:szCs w:val="20"/>
    </w:rPr>
  </w:style>
  <w:style w:type="character" w:styleId="FootnoteReference">
    <w:name w:val="footnote reference"/>
    <w:basedOn w:val="DefaultParagraphFont"/>
    <w:uiPriority w:val="99"/>
    <w:semiHidden/>
    <w:unhideWhenUsed/>
    <w:rsid w:val="00274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4587">
      <w:bodyDiv w:val="1"/>
      <w:marLeft w:val="0"/>
      <w:marRight w:val="0"/>
      <w:marTop w:val="0"/>
      <w:marBottom w:val="0"/>
      <w:divBdr>
        <w:top w:val="none" w:sz="0" w:space="0" w:color="auto"/>
        <w:left w:val="none" w:sz="0" w:space="0" w:color="auto"/>
        <w:bottom w:val="none" w:sz="0" w:space="0" w:color="auto"/>
        <w:right w:val="none" w:sz="0" w:space="0" w:color="auto"/>
      </w:divBdr>
      <w:divsChild>
        <w:div w:id="1352300594">
          <w:marLeft w:val="0"/>
          <w:marRight w:val="0"/>
          <w:marTop w:val="0"/>
          <w:marBottom w:val="0"/>
          <w:divBdr>
            <w:top w:val="none" w:sz="0" w:space="0" w:color="auto"/>
            <w:left w:val="none" w:sz="0" w:space="0" w:color="auto"/>
            <w:bottom w:val="none" w:sz="0" w:space="0" w:color="auto"/>
            <w:right w:val="none" w:sz="0" w:space="0" w:color="auto"/>
          </w:divBdr>
          <w:divsChild>
            <w:div w:id="421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12-USC-820184343-1917017608&amp;term_occur=4&amp;term_src=title:12:chapter:13:subchapter:II:section:1715z&#8211;13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313DA8-5FFD-420B-A209-D350D943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Tunte S. Vigil</dc:creator>
  <cp:lastModifiedBy>Linda</cp:lastModifiedBy>
  <cp:revision>2</cp:revision>
  <cp:lastPrinted>2013-12-02T18:14:00Z</cp:lastPrinted>
  <dcterms:created xsi:type="dcterms:W3CDTF">2018-05-08T22:52:00Z</dcterms:created>
  <dcterms:modified xsi:type="dcterms:W3CDTF">2018-05-08T22:52:00Z</dcterms:modified>
</cp:coreProperties>
</file>